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资  阳  市</w:t>
      </w:r>
    </w:p>
    <w:p>
      <w:pPr>
        <w:jc w:val="center"/>
        <w:rPr>
          <w:rFonts w:ascii="方正大标宋_GBK" w:hAnsi="Times New Roman" w:eastAsia="方正大标宋_GBK" w:cs="Times New Roman"/>
          <w:b/>
          <w:bCs/>
          <w:sz w:val="52"/>
          <w:szCs w:val="52"/>
          <w:highlight w:val="none"/>
        </w:rPr>
      </w:pPr>
      <w:r>
        <w:rPr>
          <w:rFonts w:hint="eastAsia" w:ascii="方正大标宋_GBK" w:hAnsi="Times New Roman" w:eastAsia="方正大标宋_GBK" w:cs="Times New Roman"/>
          <w:b/>
          <w:bCs/>
          <w:sz w:val="52"/>
          <w:szCs w:val="52"/>
          <w:highlight w:val="none"/>
        </w:rPr>
        <w:t>国有建设用地使用权拍卖出让文件</w:t>
      </w:r>
    </w:p>
    <w:p>
      <w:pPr>
        <w:rPr>
          <w:rFonts w:ascii="Times New Roman" w:hAnsi="Times New Roman" w:cs="Times New Roman"/>
          <w:highlight w:val="none"/>
        </w:rPr>
      </w:pPr>
    </w:p>
    <w:p>
      <w:pPr>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ind w:left="2200" w:hanging="2200" w:hangingChars="500"/>
        <w:jc w:val="left"/>
        <w:rPr>
          <w:rFonts w:hint="default" w:ascii="方正小标宋_GBK" w:hAnsi="Times New Roman" w:eastAsia="方正小标宋_GBK" w:cs="Times New Roman"/>
          <w:bCs/>
          <w:sz w:val="44"/>
          <w:szCs w:val="44"/>
          <w:highlight w:val="none"/>
          <w:u w:val="none"/>
          <w:lang w:val="en-US" w:eastAsia="zh-CN"/>
        </w:rPr>
      </w:pPr>
      <w:r>
        <w:rPr>
          <w:rFonts w:hint="eastAsia" w:ascii="方正小标宋_GBK" w:hAnsi="Times New Roman" w:eastAsia="方正小标宋_GBK" w:cs="Times New Roman"/>
          <w:bCs/>
          <w:sz w:val="44"/>
          <w:szCs w:val="44"/>
          <w:highlight w:val="none"/>
        </w:rPr>
        <w:t>地块位置：</w:t>
      </w:r>
      <w:r>
        <w:rPr>
          <w:rFonts w:hint="eastAsia" w:ascii="方正小标宋_GBK" w:hAnsi="Times New Roman" w:eastAsia="方正小标宋_GBK" w:cs="Times New Roman"/>
          <w:bCs/>
          <w:sz w:val="44"/>
          <w:szCs w:val="44"/>
          <w:highlight w:val="none"/>
          <w:u w:val="single"/>
          <w:lang w:eastAsia="zh-CN"/>
        </w:rPr>
        <w:t>资阳临空经济区清泉先进制造研发组团，成资大道以南，清泉</w:t>
      </w:r>
      <w:r>
        <w:rPr>
          <w:rFonts w:hint="eastAsia" w:ascii="方正小标宋_GBK" w:hAnsi="Times New Roman" w:eastAsia="方正小标宋_GBK" w:cs="Times New Roman"/>
          <w:bCs/>
          <w:sz w:val="44"/>
          <w:szCs w:val="44"/>
          <w:highlight w:val="none"/>
          <w:u w:val="single"/>
          <w:lang w:val="en-US" w:eastAsia="zh-CN"/>
        </w:rPr>
        <w:t xml:space="preserve">7号路以东     </w:t>
      </w:r>
    </w:p>
    <w:p>
      <w:pPr>
        <w:rPr>
          <w:rFonts w:ascii="Times New Roman" w:hAnsi="Times New Roman" w:cs="Times New Roman"/>
          <w:highlight w:val="none"/>
        </w:rPr>
      </w:pPr>
    </w:p>
    <w:p>
      <w:pPr>
        <w:rPr>
          <w:rFonts w:ascii="Times New Roman" w:hAnsi="Times New Roman" w:cs="Times New Roman"/>
          <w:highlight w:val="none"/>
        </w:rPr>
      </w:pPr>
    </w:p>
    <w:p>
      <w:pPr>
        <w:pStyle w:val="18"/>
        <w:ind w:firstLine="210"/>
        <w:rPr>
          <w:rFonts w:ascii="Times New Roman" w:hAnsi="Times New Roman" w:cs="Times New Roman"/>
          <w:highlight w:val="none"/>
        </w:rPr>
      </w:pPr>
    </w:p>
    <w:p>
      <w:pPr>
        <w:pStyle w:val="18"/>
        <w:ind w:firstLine="210"/>
        <w:rPr>
          <w:rFonts w:ascii="Times New Roman" w:hAnsi="Times New Roman" w:cs="Times New Roman"/>
          <w:highlight w:val="none"/>
        </w:rPr>
      </w:pPr>
    </w:p>
    <w:p>
      <w:pPr>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地块编号：</w:t>
      </w:r>
      <w:r>
        <w:rPr>
          <w:rFonts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rPr>
        <w:t xml:space="preserve"> </w:t>
      </w:r>
      <w:r>
        <w:rPr>
          <w:rFonts w:hint="eastAsia" w:ascii="Times New Roman" w:hAnsi="Times New Roman" w:eastAsia="方正小标宋_GBK" w:cs="Times New Roman"/>
          <w:bCs/>
          <w:sz w:val="44"/>
          <w:szCs w:val="44"/>
          <w:highlight w:val="none"/>
          <w:u w:val="single"/>
          <w:lang w:val="en-US" w:eastAsia="zh-CN"/>
        </w:rPr>
        <w:t xml:space="preserve">   </w:t>
      </w:r>
      <w:r>
        <w:rPr>
          <w:rFonts w:hint="eastAsia" w:ascii="Times New Roman" w:hAnsi="Times New Roman" w:eastAsia="方正小标宋_GBK" w:cs="Times New Roman"/>
          <w:bCs/>
          <w:sz w:val="44"/>
          <w:szCs w:val="44"/>
          <w:highlight w:val="none"/>
          <w:u w:val="single"/>
        </w:rPr>
        <w:t xml:space="preserve"> LKYD—2022—</w:t>
      </w:r>
      <w:r>
        <w:rPr>
          <w:rFonts w:hint="eastAsia" w:ascii="Times New Roman" w:hAnsi="Times New Roman" w:eastAsia="方正小标宋_GBK" w:cs="Times New Roman"/>
          <w:bCs/>
          <w:sz w:val="44"/>
          <w:szCs w:val="44"/>
          <w:highlight w:val="none"/>
          <w:u w:val="single"/>
          <w:lang w:val="en-US" w:eastAsia="zh-CN"/>
        </w:rPr>
        <w:t xml:space="preserve">031    </w:t>
      </w:r>
      <w:r>
        <w:rPr>
          <w:rFonts w:hint="eastAsia" w:ascii="Times New Roman" w:hAnsi="Times New Roman" w:eastAsia="方正小标宋_GBK" w:cs="Times New Roman"/>
          <w:bCs/>
          <w:sz w:val="44"/>
          <w:szCs w:val="44"/>
          <w:highlight w:val="none"/>
          <w:u w:val="single"/>
        </w:rPr>
        <w:t xml:space="preserve"> </w:t>
      </w:r>
    </w:p>
    <w:p>
      <w:pPr>
        <w:rPr>
          <w:rFonts w:ascii="Times New Roman" w:hAnsi="Times New Roman" w:eastAsia="宋体-方正超大字符集" w:cs="Times New Roman"/>
          <w:b/>
          <w:sz w:val="44"/>
          <w:szCs w:val="44"/>
          <w:highlight w:val="none"/>
        </w:rPr>
      </w:pPr>
    </w:p>
    <w:p>
      <w:pPr>
        <w:rPr>
          <w:rFonts w:ascii="Times New Roman" w:hAnsi="Times New Roman" w:eastAsia="方正大标宋_GBK" w:cs="Times New Roman"/>
          <w:b/>
          <w:sz w:val="52"/>
          <w:szCs w:val="52"/>
          <w:highlight w:val="none"/>
        </w:rPr>
      </w:pPr>
    </w:p>
    <w:p>
      <w:pPr>
        <w:pStyle w:val="18"/>
        <w:ind w:firstLine="210"/>
        <w:rPr>
          <w:rFonts w:ascii="Times New Roman" w:hAnsi="Times New Roman" w:cs="Times New Roman"/>
          <w:highlight w:val="none"/>
        </w:rPr>
      </w:pPr>
    </w:p>
    <w:p>
      <w:pPr>
        <w:rPr>
          <w:rFonts w:ascii="Times New Roman" w:hAnsi="Times New Roman" w:eastAsia="方正小标宋_GBK" w:cs="Times New Roman"/>
          <w:bCs/>
          <w:sz w:val="44"/>
          <w:szCs w:val="44"/>
          <w:highlight w:val="none"/>
          <w:u w:val="single"/>
        </w:rPr>
      </w:pPr>
      <w:r>
        <w:rPr>
          <w:rFonts w:ascii="Times New Roman" w:hAnsi="Times New Roman" w:eastAsia="方正小标宋_GBK" w:cs="Times New Roman"/>
          <w:bCs/>
          <w:sz w:val="44"/>
          <w:szCs w:val="44"/>
          <w:highlight w:val="none"/>
        </w:rPr>
        <w:t>宗地代码：</w:t>
      </w:r>
      <w:r>
        <w:rPr>
          <w:rFonts w:hint="eastAsia" w:ascii="Times New Roman" w:hAnsi="Times New Roman" w:eastAsia="方正小标宋_GBK" w:cs="Times New Roman"/>
          <w:bCs/>
          <w:sz w:val="44"/>
          <w:szCs w:val="44"/>
          <w:highlight w:val="none"/>
          <w:u w:val="single"/>
        </w:rPr>
        <w:t>51200200</w:t>
      </w:r>
      <w:r>
        <w:rPr>
          <w:rFonts w:hint="eastAsia" w:ascii="Times New Roman" w:hAnsi="Times New Roman" w:eastAsia="方正小标宋_GBK" w:cs="Times New Roman"/>
          <w:bCs/>
          <w:sz w:val="44"/>
          <w:szCs w:val="44"/>
          <w:highlight w:val="none"/>
          <w:u w:val="single"/>
          <w:lang w:val="en-US" w:eastAsia="zh-CN"/>
        </w:rPr>
        <w:t>3</w:t>
      </w:r>
      <w:r>
        <w:rPr>
          <w:rFonts w:hint="eastAsia" w:ascii="Times New Roman" w:hAnsi="Times New Roman" w:eastAsia="方正小标宋_GBK" w:cs="Times New Roman"/>
          <w:bCs/>
          <w:sz w:val="44"/>
          <w:szCs w:val="44"/>
          <w:highlight w:val="none"/>
          <w:u w:val="single"/>
        </w:rPr>
        <w:t>0</w:t>
      </w:r>
      <w:r>
        <w:rPr>
          <w:rFonts w:hint="eastAsia" w:ascii="Times New Roman" w:hAnsi="Times New Roman" w:eastAsia="方正小标宋_GBK" w:cs="Times New Roman"/>
          <w:bCs/>
          <w:sz w:val="44"/>
          <w:szCs w:val="44"/>
          <w:highlight w:val="none"/>
          <w:u w:val="single"/>
          <w:lang w:val="en-US" w:eastAsia="zh-CN"/>
        </w:rPr>
        <w:t>02</w:t>
      </w:r>
      <w:r>
        <w:rPr>
          <w:rFonts w:hint="eastAsia" w:ascii="Times New Roman" w:hAnsi="Times New Roman" w:eastAsia="方正小标宋_GBK" w:cs="Times New Roman"/>
          <w:bCs/>
          <w:sz w:val="44"/>
          <w:szCs w:val="44"/>
          <w:highlight w:val="none"/>
          <w:u w:val="single"/>
        </w:rPr>
        <w:t>GB00</w:t>
      </w:r>
      <w:r>
        <w:rPr>
          <w:rFonts w:hint="eastAsia" w:ascii="Times New Roman" w:hAnsi="Times New Roman" w:eastAsia="方正小标宋_GBK" w:cs="Times New Roman"/>
          <w:bCs/>
          <w:sz w:val="44"/>
          <w:szCs w:val="44"/>
          <w:highlight w:val="none"/>
          <w:u w:val="single"/>
          <w:lang w:val="en-US" w:eastAsia="zh-CN"/>
        </w:rPr>
        <w:t>617</w:t>
      </w:r>
      <w:r>
        <w:rPr>
          <w:rFonts w:hint="eastAsia" w:ascii="Times New Roman" w:hAnsi="Times New Roman" w:eastAsia="方正小标宋_GBK" w:cs="Times New Roman"/>
          <w:bCs/>
          <w:sz w:val="44"/>
          <w:szCs w:val="44"/>
          <w:highlight w:val="none"/>
          <w:u w:val="single"/>
        </w:rPr>
        <w:t>W00000000</w:t>
      </w:r>
    </w:p>
    <w:p>
      <w:pPr>
        <w:rPr>
          <w:rFonts w:ascii="Times New Roman" w:hAnsi="Times New Roman" w:eastAsia="宋体-方正超大字符集" w:cs="Times New Roman"/>
          <w:b/>
          <w:sz w:val="44"/>
          <w:szCs w:val="44"/>
          <w:highlight w:val="none"/>
        </w:rPr>
      </w:pPr>
    </w:p>
    <w:p>
      <w:pPr>
        <w:pStyle w:val="18"/>
        <w:ind w:left="0" w:leftChars="0" w:firstLine="0" w:firstLineChars="0"/>
        <w:rPr>
          <w:rFonts w:ascii="Times New Roman" w:hAnsi="Times New Roman" w:cs="Times New Roman"/>
          <w:highlight w:val="none"/>
        </w:rPr>
      </w:pPr>
    </w:p>
    <w:p>
      <w:pPr>
        <w:pStyle w:val="18"/>
        <w:spacing w:line="600" w:lineRule="exact"/>
        <w:ind w:firstLine="0" w:firstLineChars="0"/>
        <w:rPr>
          <w:rFonts w:ascii="Times New Roman" w:hAnsi="Times New Roman" w:cs="Times New Roman"/>
          <w:b/>
          <w:highlight w:val="none"/>
        </w:rPr>
      </w:pPr>
    </w:p>
    <w:p>
      <w:pPr>
        <w:spacing w:line="600" w:lineRule="exact"/>
        <w:rPr>
          <w:rFonts w:ascii="Times New Roman" w:hAnsi="Times New Roman" w:eastAsia="仿宋_GB2312" w:cs="Times New Roman"/>
          <w:b/>
          <w:bCs/>
          <w:sz w:val="44"/>
          <w:szCs w:val="44"/>
          <w:highlight w:val="none"/>
        </w:rPr>
      </w:pPr>
      <w:r>
        <w:rPr>
          <w:rFonts w:ascii="Times New Roman" w:hAnsi="Times New Roman" w:eastAsia="仿宋_GB2312" w:cs="Times New Roman"/>
          <w:b/>
          <w:bCs/>
          <w:sz w:val="44"/>
          <w:szCs w:val="44"/>
          <w:highlight w:val="none"/>
        </w:rPr>
        <w:t>资阳市政府政务服务和公共资源交易服务中心</w:t>
      </w:r>
    </w:p>
    <w:p>
      <w:pPr>
        <w:spacing w:line="600" w:lineRule="exact"/>
        <w:jc w:val="center"/>
        <w:rPr>
          <w:rFonts w:ascii="Times New Roman" w:hAnsi="Times New Roman" w:eastAsia="仿宋_GB2312" w:cs="Times New Roman"/>
          <w:b/>
          <w:bCs/>
          <w:sz w:val="44"/>
          <w:szCs w:val="44"/>
          <w:highlight w:val="none"/>
        </w:rPr>
      </w:pPr>
    </w:p>
    <w:p>
      <w:pPr>
        <w:spacing w:line="600" w:lineRule="exact"/>
        <w:jc w:val="center"/>
        <w:rPr>
          <w:rFonts w:ascii="Times New Roman" w:hAnsi="Times New Roman" w:eastAsia="仿宋_GB2312" w:cs="Times New Roman"/>
          <w:bCs/>
          <w:sz w:val="44"/>
          <w:szCs w:val="44"/>
          <w:highlight w:val="none"/>
        </w:rPr>
      </w:pPr>
      <w:r>
        <w:rPr>
          <w:rFonts w:hint="eastAsia" w:ascii="Times New Roman" w:hAnsi="Times New Roman" w:eastAsia="仿宋_GB2312" w:cs="Times New Roman"/>
          <w:b/>
          <w:bCs/>
          <w:sz w:val="44"/>
          <w:szCs w:val="44"/>
          <w:highlight w:val="none"/>
          <w:lang w:val="en-US" w:eastAsia="zh-CN"/>
        </w:rPr>
        <w:t xml:space="preserve">         </w:t>
      </w:r>
      <w:r>
        <w:rPr>
          <w:rFonts w:ascii="Times New Roman" w:hAnsi="Times New Roman" w:eastAsia="仿宋_GB2312" w:cs="Times New Roman"/>
          <w:b/>
          <w:bCs/>
          <w:sz w:val="44"/>
          <w:szCs w:val="44"/>
          <w:highlight w:val="none"/>
        </w:rPr>
        <w:t>202</w:t>
      </w:r>
      <w:r>
        <w:rPr>
          <w:rFonts w:hint="eastAsia" w:ascii="Times New Roman" w:hAnsi="Times New Roman" w:eastAsia="仿宋_GB2312" w:cs="Times New Roman"/>
          <w:b/>
          <w:bCs/>
          <w:sz w:val="44"/>
          <w:szCs w:val="44"/>
          <w:highlight w:val="none"/>
          <w:lang w:val="en-US" w:eastAsia="zh-CN"/>
        </w:rPr>
        <w:t>3</w:t>
      </w:r>
      <w:r>
        <w:rPr>
          <w:rFonts w:ascii="Times New Roman" w:hAnsi="Times New Roman" w:eastAsia="仿宋_GB2312" w:cs="Times New Roman"/>
          <w:b/>
          <w:bCs/>
          <w:sz w:val="44"/>
          <w:szCs w:val="44"/>
          <w:highlight w:val="none"/>
        </w:rPr>
        <w:t>年</w:t>
      </w:r>
      <w:r>
        <w:rPr>
          <w:rFonts w:hint="eastAsia" w:ascii="Times New Roman" w:hAnsi="Times New Roman" w:eastAsia="仿宋_GB2312" w:cs="Times New Roman"/>
          <w:b/>
          <w:bCs/>
          <w:sz w:val="44"/>
          <w:szCs w:val="44"/>
          <w:highlight w:val="none"/>
          <w:lang w:val="en-US" w:eastAsia="zh-CN"/>
        </w:rPr>
        <w:t>5</w:t>
      </w:r>
      <w:r>
        <w:rPr>
          <w:rFonts w:ascii="Times New Roman" w:hAnsi="Times New Roman" w:eastAsia="仿宋_GB2312" w:cs="Times New Roman"/>
          <w:b/>
          <w:bCs/>
          <w:sz w:val="44"/>
          <w:szCs w:val="44"/>
          <w:highlight w:val="none"/>
        </w:rPr>
        <w:t>月</w:t>
      </w:r>
      <w:r>
        <w:rPr>
          <w:rFonts w:hint="eastAsia" w:ascii="Times New Roman" w:hAnsi="Times New Roman" w:eastAsia="仿宋_GB2312" w:cs="Times New Roman"/>
          <w:b/>
          <w:bCs/>
          <w:sz w:val="44"/>
          <w:szCs w:val="44"/>
          <w:highlight w:val="none"/>
          <w:lang w:val="en-US" w:eastAsia="zh-CN"/>
        </w:rPr>
        <w:t>9</w:t>
      </w:r>
      <w:r>
        <w:rPr>
          <w:rFonts w:ascii="Times New Roman" w:hAnsi="Times New Roman" w:eastAsia="仿宋_GB2312" w:cs="Times New Roman"/>
          <w:b/>
          <w:bCs/>
          <w:sz w:val="44"/>
          <w:szCs w:val="44"/>
          <w:highlight w:val="none"/>
        </w:rPr>
        <w:t>日</w:t>
      </w:r>
    </w:p>
    <w:p>
      <w:pPr>
        <w:pStyle w:val="2"/>
        <w:ind w:firstLine="210"/>
        <w:rPr>
          <w:highlight w:val="none"/>
        </w:rPr>
        <w:sectPr>
          <w:footerReference r:id="rId3" w:type="default"/>
          <w:pgSz w:w="11906" w:h="16838"/>
          <w:pgMar w:top="2098" w:right="1474" w:bottom="1985" w:left="1588" w:header="851" w:footer="1247" w:gutter="0"/>
          <w:pgNumType w:start="1"/>
          <w:cols w:space="720" w:num="1"/>
          <w:docGrid w:linePitch="312" w:charSpace="0"/>
        </w:sectPr>
      </w:pPr>
    </w:p>
    <w:p>
      <w:pPr>
        <w:pStyle w:val="2"/>
        <w:ind w:firstLine="210"/>
        <w:rPr>
          <w:highlight w:val="none"/>
        </w:rPr>
      </w:pPr>
    </w:p>
    <w:p>
      <w:pPr>
        <w:pStyle w:val="2"/>
        <w:ind w:firstLine="210"/>
        <w:rPr>
          <w:highlight w:val="none"/>
        </w:rPr>
      </w:pPr>
    </w:p>
    <w:p>
      <w:pPr>
        <w:jc w:val="center"/>
        <w:rPr>
          <w:rFonts w:ascii="方正小标宋_GBK" w:hAnsi="Times New Roman" w:eastAsia="方正小标宋_GBK" w:cs="Times New Roman"/>
          <w:bCs/>
          <w:sz w:val="44"/>
          <w:szCs w:val="44"/>
          <w:highlight w:val="none"/>
        </w:rPr>
      </w:pPr>
      <w:r>
        <w:rPr>
          <w:rFonts w:hint="eastAsia" w:ascii="方正小标宋_GBK" w:hAnsi="Times New Roman" w:eastAsia="方正小标宋_GBK" w:cs="Times New Roman"/>
          <w:bCs/>
          <w:sz w:val="44"/>
          <w:szCs w:val="44"/>
          <w:highlight w:val="none"/>
        </w:rPr>
        <w:t>目　　　录</w:t>
      </w:r>
    </w:p>
    <w:p>
      <w:pPr>
        <w:pStyle w:val="18"/>
        <w:ind w:firstLine="210"/>
        <w:rPr>
          <w:highlight w:val="none"/>
        </w:rPr>
      </w:pPr>
    </w:p>
    <w:p>
      <w:pPr>
        <w:spacing w:line="600" w:lineRule="exact"/>
        <w:rPr>
          <w:rFonts w:ascii="Times New Roman" w:hAnsi="Times New Roman" w:eastAsia="方正仿宋_GBK" w:cs="Times New Roman"/>
          <w:bCs/>
          <w:spacing w:val="20"/>
          <w:sz w:val="32"/>
          <w:szCs w:val="32"/>
          <w:highlight w:val="none"/>
        </w:rPr>
      </w:pPr>
      <w:r>
        <w:rPr>
          <w:rFonts w:ascii="Times New Roman" w:hAnsi="Times New Roman" w:eastAsia="方正仿宋_GBK" w:cs="Times New Roman"/>
          <w:bCs/>
          <w:sz w:val="32"/>
          <w:szCs w:val="32"/>
          <w:highlight w:val="none"/>
        </w:rPr>
        <w:t>1、</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出让公告</w:t>
      </w:r>
    </w:p>
    <w:p>
      <w:pPr>
        <w:spacing w:line="600" w:lineRule="exact"/>
        <w:rPr>
          <w:rFonts w:ascii="Times New Roman" w:hAnsi="Times New Roman" w:eastAsia="方正仿宋_GBK" w:cs="Times New Roman"/>
          <w:bCs/>
          <w:sz w:val="32"/>
          <w:szCs w:val="32"/>
          <w:highlight w:val="none"/>
        </w:rPr>
      </w:pPr>
      <w:r>
        <w:rPr>
          <w:rFonts w:ascii="Times New Roman" w:hAnsi="Times New Roman" w:eastAsia="方正仿宋_GBK" w:cs="Times New Roman"/>
          <w:bCs/>
          <w:sz w:val="32"/>
          <w:szCs w:val="32"/>
          <w:highlight w:val="none"/>
        </w:rPr>
        <w:t>2、</w:t>
      </w:r>
      <w:r>
        <w:rPr>
          <w:rFonts w:ascii="Times New Roman" w:hAnsi="Times New Roman" w:eastAsia="方正仿宋_GBK" w:cs="Times New Roman"/>
          <w:bCs/>
          <w:spacing w:val="20"/>
          <w:sz w:val="32"/>
          <w:szCs w:val="32"/>
          <w:highlight w:val="none"/>
        </w:rPr>
        <w:t>国有建设用地使用权</w:t>
      </w:r>
      <w:r>
        <w:rPr>
          <w:rFonts w:hint="eastAsia" w:ascii="Times New Roman" w:hAnsi="Times New Roman" w:eastAsia="方正仿宋_GBK" w:cs="Times New Roman"/>
          <w:bCs/>
          <w:spacing w:val="20"/>
          <w:sz w:val="32"/>
          <w:szCs w:val="32"/>
          <w:highlight w:val="none"/>
        </w:rPr>
        <w:t>拍卖</w:t>
      </w:r>
      <w:r>
        <w:rPr>
          <w:rFonts w:ascii="Times New Roman" w:hAnsi="Times New Roman" w:eastAsia="方正仿宋_GBK" w:cs="Times New Roman"/>
          <w:bCs/>
          <w:spacing w:val="20"/>
          <w:sz w:val="32"/>
          <w:szCs w:val="32"/>
          <w:highlight w:val="none"/>
        </w:rPr>
        <w:t>出让须知</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3、</w:t>
      </w:r>
      <w:r>
        <w:rPr>
          <w:rFonts w:ascii="Times New Roman" w:hAnsi="Times New Roman" w:eastAsia="方正仿宋_GBK" w:cs="Times New Roman"/>
          <w:bCs/>
          <w:spacing w:val="28"/>
          <w:sz w:val="32"/>
          <w:szCs w:val="32"/>
          <w:highlight w:val="none"/>
        </w:rPr>
        <w:t>用地勘测定界图</w:t>
      </w:r>
    </w:p>
    <w:p>
      <w:pPr>
        <w:spacing w:line="600" w:lineRule="exact"/>
        <w:rPr>
          <w:rFonts w:ascii="Times New Roman" w:hAnsi="Times New Roman" w:eastAsia="方正仿宋_GBK" w:cs="Times New Roman"/>
          <w:bCs/>
          <w:spacing w:val="28"/>
          <w:sz w:val="32"/>
          <w:szCs w:val="32"/>
          <w:highlight w:val="none"/>
        </w:rPr>
      </w:pPr>
      <w:r>
        <w:rPr>
          <w:rFonts w:ascii="Times New Roman" w:hAnsi="Times New Roman" w:eastAsia="方正仿宋_GBK" w:cs="Times New Roman"/>
          <w:bCs/>
          <w:sz w:val="32"/>
          <w:szCs w:val="32"/>
          <w:highlight w:val="none"/>
        </w:rPr>
        <w:t>4、</w:t>
      </w:r>
      <w:r>
        <w:rPr>
          <w:rFonts w:hint="eastAsia" w:ascii="Times New Roman" w:hAnsi="Times New Roman" w:eastAsia="方正仿宋_GBK" w:cs="Times New Roman"/>
          <w:bCs/>
          <w:sz w:val="32"/>
          <w:szCs w:val="32"/>
          <w:highlight w:val="none"/>
        </w:rPr>
        <w:t>LKYD—2022—0</w:t>
      </w:r>
      <w:r>
        <w:rPr>
          <w:rFonts w:hint="eastAsia" w:ascii="Times New Roman" w:hAnsi="Times New Roman" w:eastAsia="方正仿宋_GBK" w:cs="Times New Roman"/>
          <w:bCs/>
          <w:sz w:val="32"/>
          <w:szCs w:val="32"/>
          <w:highlight w:val="none"/>
          <w:lang w:val="en-US" w:eastAsia="zh-CN"/>
        </w:rPr>
        <w:t>31</w:t>
      </w:r>
      <w:r>
        <w:rPr>
          <w:rFonts w:ascii="Times New Roman" w:hAnsi="Times New Roman" w:eastAsia="方正仿宋_GBK" w:cs="Times New Roman"/>
          <w:bCs/>
          <w:sz w:val="32"/>
          <w:szCs w:val="32"/>
          <w:highlight w:val="none"/>
        </w:rPr>
        <w:t>号地块</w:t>
      </w:r>
      <w:r>
        <w:rPr>
          <w:rFonts w:ascii="Times New Roman" w:hAnsi="Times New Roman" w:eastAsia="方正仿宋_GBK" w:cs="Times New Roman"/>
          <w:bCs/>
          <w:spacing w:val="28"/>
          <w:sz w:val="32"/>
          <w:szCs w:val="32"/>
          <w:highlight w:val="none"/>
        </w:rPr>
        <w:t>规划条件</w:t>
      </w:r>
    </w:p>
    <w:p>
      <w:pPr>
        <w:spacing w:line="600" w:lineRule="exact"/>
        <w:rPr>
          <w:highlight w:val="none"/>
        </w:rPr>
      </w:pPr>
      <w:r>
        <w:rPr>
          <w:rFonts w:ascii="Times New Roman" w:hAnsi="Times New Roman" w:eastAsia="方正仿宋_GBK" w:cs="Times New Roman"/>
          <w:bCs/>
          <w:sz w:val="32"/>
          <w:szCs w:val="32"/>
          <w:highlight w:val="none"/>
        </w:rPr>
        <w:t>5、</w:t>
      </w:r>
      <w:r>
        <w:rPr>
          <w:rFonts w:ascii="Times New Roman" w:hAnsi="Times New Roman" w:eastAsia="方正仿宋_GBK" w:cs="Times New Roman"/>
          <w:bCs/>
          <w:spacing w:val="28"/>
          <w:sz w:val="32"/>
          <w:szCs w:val="32"/>
          <w:highlight w:val="none"/>
        </w:rPr>
        <w:t>《竞买申请书》（样本）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6</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《授权委托书》（样本）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28"/>
          <w:sz w:val="32"/>
          <w:szCs w:val="32"/>
          <w:highlight w:val="none"/>
        </w:rPr>
        <w:t>《成交确认书》（样本）</w:t>
      </w:r>
    </w:p>
    <w:p>
      <w:pPr>
        <w:spacing w:line="600" w:lineRule="exact"/>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9</w:t>
      </w:r>
      <w:r>
        <w:rPr>
          <w:rFonts w:ascii="Times New Roman" w:hAnsi="Times New Roman" w:eastAsia="方正仿宋_GBK" w:cs="Times New Roman"/>
          <w:bCs/>
          <w:sz w:val="32"/>
          <w:szCs w:val="32"/>
          <w:highlight w:val="none"/>
        </w:rPr>
        <w:t>、</w:t>
      </w:r>
      <w:r>
        <w:rPr>
          <w:rFonts w:hint="eastAsia" w:ascii="Times New Roman" w:hAnsi="Times New Roman" w:eastAsia="方正仿宋_GBK" w:cs="Times New Roman"/>
          <w:bCs/>
          <w:spacing w:val="20"/>
          <w:sz w:val="32"/>
          <w:szCs w:val="32"/>
          <w:highlight w:val="none"/>
          <w:lang w:val="en-US" w:eastAsia="zh-CN"/>
        </w:rPr>
        <w:t>《联合竞买土地协议》（样本）</w:t>
      </w:r>
    </w:p>
    <w:p>
      <w:pPr>
        <w:spacing w:line="600" w:lineRule="exact"/>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10</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《国有建设用地使用权出让合同》（样本）</w:t>
      </w:r>
    </w:p>
    <w:p>
      <w:pPr>
        <w:spacing w:line="600" w:lineRule="exact"/>
        <w:ind w:left="320" w:hanging="320"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z w:val="32"/>
          <w:szCs w:val="32"/>
          <w:highlight w:val="none"/>
          <w:lang w:val="en-US" w:eastAsia="zh-CN"/>
        </w:rPr>
        <w:t>11</w:t>
      </w:r>
      <w:r>
        <w:rPr>
          <w:rFonts w:ascii="Times New Roman" w:hAnsi="Times New Roman" w:eastAsia="方正仿宋_GBK" w:cs="Times New Roman"/>
          <w:bCs/>
          <w:sz w:val="32"/>
          <w:szCs w:val="32"/>
          <w:highlight w:val="none"/>
        </w:rPr>
        <w:t>、</w:t>
      </w:r>
      <w:r>
        <w:rPr>
          <w:rFonts w:ascii="Times New Roman" w:hAnsi="Times New Roman" w:eastAsia="方正仿宋_GBK" w:cs="Times New Roman"/>
          <w:bCs/>
          <w:spacing w:val="-16"/>
          <w:sz w:val="32"/>
          <w:szCs w:val="32"/>
          <w:highlight w:val="none"/>
        </w:rPr>
        <w:t>国有建设用地使用权出让合同（示范文本）部分条款</w:t>
      </w:r>
      <w:r>
        <w:rPr>
          <w:rFonts w:hint="eastAsia" w:ascii="Times New Roman" w:hAnsi="Times New Roman" w:eastAsia="方正仿宋_GBK" w:cs="Times New Roman"/>
          <w:bCs/>
          <w:spacing w:val="-16"/>
          <w:sz w:val="32"/>
          <w:szCs w:val="32"/>
          <w:highlight w:val="none"/>
        </w:rPr>
        <w:t>释义</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lang w:val="en-US" w:eastAsia="zh-CN"/>
        </w:rPr>
        <w:t>12</w:t>
      </w:r>
      <w:r>
        <w:rPr>
          <w:rFonts w:ascii="Times New Roman" w:hAnsi="Times New Roman" w:eastAsia="方正仿宋_GBK" w:cs="Times New Roman"/>
          <w:bCs/>
          <w:spacing w:val="-16"/>
          <w:sz w:val="32"/>
          <w:szCs w:val="32"/>
          <w:highlight w:val="none"/>
        </w:rPr>
        <w:t>、建设项目用地信息公示牌（模板）</w:t>
      </w:r>
    </w:p>
    <w:p>
      <w:pPr>
        <w:spacing w:line="600" w:lineRule="exact"/>
        <w:ind w:left="288" w:hanging="288" w:hangingChars="100"/>
        <w:rPr>
          <w:rFonts w:ascii="Times New Roman" w:hAnsi="Times New Roman" w:eastAsia="方正仿宋_GBK" w:cs="Times New Roman"/>
          <w:bCs/>
          <w:spacing w:val="-16"/>
          <w:sz w:val="32"/>
          <w:szCs w:val="32"/>
          <w:highlight w:val="none"/>
        </w:rPr>
      </w:pPr>
      <w:r>
        <w:rPr>
          <w:rFonts w:hint="eastAsia"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3</w:t>
      </w:r>
      <w:r>
        <w:rPr>
          <w:rFonts w:ascii="Times New Roman" w:hAnsi="Times New Roman" w:eastAsia="方正仿宋_GBK" w:cs="Times New Roman"/>
          <w:bCs/>
          <w:spacing w:val="-16"/>
          <w:sz w:val="32"/>
          <w:szCs w:val="32"/>
          <w:highlight w:val="none"/>
        </w:rPr>
        <w:t>、建设项目动工申报书（样本）</w:t>
      </w:r>
    </w:p>
    <w:p>
      <w:pPr>
        <w:spacing w:line="600" w:lineRule="exact"/>
        <w:rPr>
          <w:rFonts w:ascii="Times New Roman" w:hAnsi="Times New Roman" w:eastAsia="方正仿宋_GBK" w:cs="Times New Roman"/>
          <w:bCs/>
          <w:spacing w:val="-16"/>
          <w:sz w:val="32"/>
          <w:szCs w:val="32"/>
          <w:highlight w:val="none"/>
        </w:rPr>
      </w:pPr>
      <w:r>
        <w:rPr>
          <w:rFonts w:ascii="Times New Roman" w:hAnsi="Times New Roman" w:eastAsia="方正仿宋_GBK" w:cs="Times New Roman"/>
          <w:bCs/>
          <w:spacing w:val="-16"/>
          <w:sz w:val="32"/>
          <w:szCs w:val="32"/>
          <w:highlight w:val="none"/>
        </w:rPr>
        <w:t>1</w:t>
      </w:r>
      <w:r>
        <w:rPr>
          <w:rFonts w:hint="eastAsia" w:ascii="Times New Roman" w:hAnsi="Times New Roman" w:eastAsia="方正仿宋_GBK" w:cs="Times New Roman"/>
          <w:bCs/>
          <w:spacing w:val="-16"/>
          <w:sz w:val="32"/>
          <w:szCs w:val="32"/>
          <w:highlight w:val="none"/>
          <w:lang w:val="en-US" w:eastAsia="zh-CN"/>
        </w:rPr>
        <w:t>4</w:t>
      </w:r>
      <w:r>
        <w:rPr>
          <w:rFonts w:ascii="Times New Roman" w:hAnsi="Times New Roman" w:eastAsia="方正仿宋_GBK" w:cs="Times New Roman"/>
          <w:bCs/>
          <w:spacing w:val="-16"/>
          <w:sz w:val="32"/>
          <w:szCs w:val="32"/>
          <w:highlight w:val="none"/>
        </w:rPr>
        <w:t>、建设项目竣工申报书（样本）</w:t>
      </w:r>
    </w:p>
    <w:p>
      <w:pPr>
        <w:spacing w:line="600" w:lineRule="exact"/>
        <w:jc w:val="center"/>
        <w:rPr>
          <w:rFonts w:ascii="方正小标宋_GBK" w:hAnsi="方正大标宋_GBK" w:eastAsia="方正小标宋_GBK" w:cs="方正大标宋_GBK"/>
          <w:color w:val="000000" w:themeColor="text1"/>
          <w:sz w:val="44"/>
          <w:szCs w:val="44"/>
          <w:highlight w:val="none"/>
          <w14:textFill>
            <w14:solidFill>
              <w14:schemeClr w14:val="tx1"/>
            </w14:solidFill>
          </w14:textFill>
        </w:rPr>
        <w:sectPr>
          <w:footerReference r:id="rId4" w:type="default"/>
          <w:pgSz w:w="11906" w:h="16838"/>
          <w:pgMar w:top="2098" w:right="1474" w:bottom="1985" w:left="1588" w:header="851" w:footer="1247" w:gutter="0"/>
          <w:pgNumType w:start="1"/>
          <w:cols w:space="720" w:num="1"/>
          <w:docGrid w:linePitch="312" w:charSpace="0"/>
        </w:sectPr>
      </w:pPr>
    </w:p>
    <w:p>
      <w:pPr>
        <w:spacing w:line="600" w:lineRule="exact"/>
        <w:jc w:val="center"/>
        <w:rPr>
          <w:rFonts w:ascii="方正小标宋_GBK" w:hAnsi="方正大标宋_GBK" w:eastAsia="方正小标宋_GBK" w:cs="方正大标宋_GBK"/>
          <w:color w:val="000000" w:themeColor="text1"/>
          <w:sz w:val="44"/>
          <w:szCs w:val="44"/>
          <w:highlight w:val="none"/>
          <w14:textFill>
            <w14:solidFill>
              <w14:schemeClr w14:val="tx1"/>
            </w14:solidFill>
          </w14:textFill>
        </w:rPr>
      </w:pPr>
      <w:r>
        <w:rPr>
          <w:rFonts w:hint="eastAsia" w:ascii="方正小标宋_GBK" w:hAnsi="方正大标宋_GBK" w:eastAsia="方正小标宋_GBK" w:cs="方正大标宋_GBK"/>
          <w:color w:val="000000" w:themeColor="text1"/>
          <w:sz w:val="44"/>
          <w:szCs w:val="44"/>
          <w:highlight w:val="none"/>
          <w14:textFill>
            <w14:solidFill>
              <w14:schemeClr w14:val="tx1"/>
            </w14:solidFill>
          </w14:textFill>
        </w:rPr>
        <w:t>资 阳 市</w:t>
      </w:r>
    </w:p>
    <w:p>
      <w:pPr>
        <w:spacing w:line="600" w:lineRule="exact"/>
        <w:jc w:val="center"/>
        <w:rPr>
          <w:rFonts w:ascii="方正小标宋_GBK" w:hAnsi="新宋体" w:eastAsia="方正小标宋_GBK"/>
          <w:color w:val="000000" w:themeColor="text1"/>
          <w:sz w:val="44"/>
          <w:szCs w:val="44"/>
          <w:highlight w:val="none"/>
          <w14:textFill>
            <w14:solidFill>
              <w14:schemeClr w14:val="tx1"/>
            </w14:solidFill>
          </w14:textFill>
        </w:rPr>
      </w:pPr>
      <w:r>
        <w:rPr>
          <w:rFonts w:hint="eastAsia" w:ascii="方正小标宋_GBK" w:hAnsi="方正大标宋_GBK" w:eastAsia="方正小标宋_GBK" w:cs="方正大标宋_GBK"/>
          <w:color w:val="000000" w:themeColor="text1"/>
          <w:sz w:val="44"/>
          <w:szCs w:val="44"/>
          <w:highlight w:val="none"/>
          <w14:textFill>
            <w14:solidFill>
              <w14:schemeClr w14:val="tx1"/>
            </w14:solidFill>
          </w14:textFill>
        </w:rPr>
        <w:t>国有建设用地使用权拍卖出让公告</w:t>
      </w:r>
    </w:p>
    <w:p>
      <w:pPr>
        <w:spacing w:line="600" w:lineRule="exact"/>
        <w:jc w:val="center"/>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资公资土拍</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告</w:t>
      </w:r>
      <w:r>
        <w:rPr>
          <w:rFonts w:ascii="Times New Roman" w:hAnsi="Times New Roman" w:eastAsia="方正仿宋_GBK" w:cs="Times New Roman"/>
          <w:color w:val="000000" w:themeColor="text1"/>
          <w:sz w:val="32"/>
          <w:szCs w:val="32"/>
          <w:highlight w:val="none"/>
          <w14:textFill>
            <w14:solidFill>
              <w14:schemeClr w14:val="tx1"/>
            </w14:solidFill>
          </w14:textFill>
        </w:rPr>
        <w:t>〔202</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号</w:t>
      </w:r>
    </w:p>
    <w:p>
      <w:pPr>
        <w:pStyle w:val="18"/>
        <w:ind w:firstLine="210"/>
        <w:rPr>
          <w:highlight w:val="none"/>
        </w:rPr>
      </w:pPr>
    </w:p>
    <w:p>
      <w:pPr>
        <w:tabs>
          <w:tab w:val="left" w:pos="3620"/>
        </w:tabs>
        <w:spacing w:line="540" w:lineRule="exact"/>
        <w:ind w:firstLine="640" w:firstLineChars="200"/>
        <w:rPr>
          <w:rFonts w:eastAsia="方正仿宋_GBK"/>
          <w:color w:val="000000" w:themeColor="text1"/>
          <w:sz w:val="32"/>
          <w:szCs w:val="32"/>
          <w:highlight w:val="none"/>
          <w:u w:val="single"/>
          <w14:textFill>
            <w14:solidFill>
              <w14:schemeClr w14:val="tx1"/>
            </w14:solidFill>
          </w14:textFill>
        </w:rPr>
      </w:pPr>
      <w:r>
        <w:rPr>
          <w:rFonts w:eastAsia="方正仿宋_GBK"/>
          <w:color w:val="000000" w:themeColor="text1"/>
          <w:kern w:val="0"/>
          <w:sz w:val="32"/>
          <w:szCs w:val="32"/>
          <w:highlight w:val="none"/>
          <w14:textFill>
            <w14:solidFill>
              <w14:schemeClr w14:val="tx1"/>
            </w14:solidFill>
          </w14:textFill>
        </w:rPr>
        <w:t>根据《</w:t>
      </w:r>
      <w:r>
        <w:rPr>
          <w:rFonts w:hint="eastAsia" w:eastAsia="方正仿宋_GBK"/>
          <w:color w:val="000000" w:themeColor="text1"/>
          <w:kern w:val="0"/>
          <w:sz w:val="32"/>
          <w:szCs w:val="32"/>
          <w:highlight w:val="none"/>
          <w14:textFill>
            <w14:solidFill>
              <w14:schemeClr w14:val="tx1"/>
            </w14:solidFill>
          </w14:textFill>
        </w:rPr>
        <w:t>中华人民共和国</w:t>
      </w:r>
      <w:r>
        <w:rPr>
          <w:rFonts w:eastAsia="方正仿宋_GBK"/>
          <w:color w:val="000000" w:themeColor="text1"/>
          <w:kern w:val="0"/>
          <w:sz w:val="32"/>
          <w:szCs w:val="32"/>
          <w:highlight w:val="none"/>
          <w14:textFill>
            <w14:solidFill>
              <w14:schemeClr w14:val="tx1"/>
            </w14:solidFill>
          </w14:textFill>
        </w:rPr>
        <w:t>土地管理法》《</w:t>
      </w:r>
      <w:r>
        <w:rPr>
          <w:rFonts w:hint="eastAsia" w:eastAsia="方正仿宋_GBK"/>
          <w:color w:val="000000" w:themeColor="text1"/>
          <w:kern w:val="0"/>
          <w:sz w:val="32"/>
          <w:szCs w:val="32"/>
          <w:highlight w:val="none"/>
          <w14:textFill>
            <w14:solidFill>
              <w14:schemeClr w14:val="tx1"/>
            </w14:solidFill>
          </w14:textFill>
        </w:rPr>
        <w:t>中华人民共和国</w:t>
      </w:r>
      <w:r>
        <w:rPr>
          <w:rFonts w:eastAsia="方正仿宋_GBK"/>
          <w:color w:val="000000" w:themeColor="text1"/>
          <w:kern w:val="0"/>
          <w:sz w:val="32"/>
          <w:szCs w:val="32"/>
          <w:highlight w:val="none"/>
          <w14:textFill>
            <w14:solidFill>
              <w14:schemeClr w14:val="tx1"/>
            </w14:solidFill>
          </w14:textFill>
        </w:rPr>
        <w:t>城市</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房地产管理法》《招标拍卖挂牌出让国有建设用地使用权规定》（原国土资源部令第39号）</w:t>
      </w:r>
      <w:r>
        <w:rPr>
          <w:rFonts w:eastAsia="方正仿宋_GBK"/>
          <w:color w:val="000000" w:themeColor="text1"/>
          <w:kern w:val="0"/>
          <w:sz w:val="32"/>
          <w:szCs w:val="32"/>
          <w:highlight w:val="none"/>
          <w14:textFill>
            <w14:solidFill>
              <w14:schemeClr w14:val="tx1"/>
            </w14:solidFill>
          </w14:textFill>
        </w:rPr>
        <w:t>等相关规定，</w:t>
      </w:r>
      <w:r>
        <w:rPr>
          <w:rFonts w:eastAsia="方正仿宋_GBK"/>
          <w:color w:val="000000" w:themeColor="text1"/>
          <w:sz w:val="32"/>
          <w:szCs w:val="32"/>
          <w:highlight w:val="none"/>
          <w14:textFill>
            <w14:solidFill>
              <w14:schemeClr w14:val="tx1"/>
            </w14:solidFill>
          </w14:textFill>
        </w:rPr>
        <w:t>经</w:t>
      </w:r>
      <w:r>
        <w:rPr>
          <w:rFonts w:eastAsia="方正仿宋_GBK"/>
          <w:color w:val="000000" w:themeColor="text1"/>
          <w:sz w:val="32"/>
          <w:szCs w:val="32"/>
          <w:highlight w:val="none"/>
          <w:u w:val="single" w:color="000000"/>
          <w14:textFill>
            <w14:solidFill>
              <w14:schemeClr w14:val="tx1"/>
            </w14:solidFill>
          </w14:textFill>
        </w:rPr>
        <w:t>资阳市</w:t>
      </w:r>
      <w:r>
        <w:rPr>
          <w:rFonts w:eastAsia="方正仿宋_GBK"/>
          <w:color w:val="000000" w:themeColor="text1"/>
          <w:sz w:val="32"/>
          <w:szCs w:val="32"/>
          <w:highlight w:val="none"/>
          <w14:textFill>
            <w14:solidFill>
              <w14:schemeClr w14:val="tx1"/>
            </w14:solidFill>
          </w14:textFill>
        </w:rPr>
        <w:t>人民政府批准，</w:t>
      </w:r>
      <w:r>
        <w:rPr>
          <w:rFonts w:hint="eastAsia" w:eastAsia="方正仿宋_GBK"/>
          <w:color w:val="000000" w:themeColor="text1"/>
          <w:sz w:val="32"/>
          <w:szCs w:val="32"/>
          <w:highlight w:val="none"/>
          <w14:textFill>
            <w14:solidFill>
              <w14:schemeClr w14:val="tx1"/>
            </w14:solidFill>
          </w14:textFill>
        </w:rPr>
        <w:t>受</w:t>
      </w:r>
      <w:r>
        <w:rPr>
          <w:rFonts w:hint="eastAsia" w:eastAsia="方正仿宋_GBK"/>
          <w:color w:val="000000" w:themeColor="text1"/>
          <w:sz w:val="32"/>
          <w:szCs w:val="32"/>
          <w:highlight w:val="none"/>
          <w:u w:val="single"/>
          <w14:textFill>
            <w14:solidFill>
              <w14:schemeClr w14:val="tx1"/>
            </w14:solidFill>
          </w14:textFill>
        </w:rPr>
        <w:t>资阳市临空经济区管理委员会</w:t>
      </w:r>
      <w:r>
        <w:rPr>
          <w:rFonts w:hint="eastAsia" w:eastAsia="方正仿宋_GBK"/>
          <w:color w:val="000000" w:themeColor="text1"/>
          <w:sz w:val="32"/>
          <w:szCs w:val="32"/>
          <w:highlight w:val="none"/>
          <w14:textFill>
            <w14:solidFill>
              <w14:schemeClr w14:val="tx1"/>
            </w14:solidFill>
          </w14:textFill>
        </w:rPr>
        <w:t>委托，</w:t>
      </w:r>
      <w:r>
        <w:rPr>
          <w:rFonts w:hint="eastAsia" w:eastAsia="方正仿宋_GBK"/>
          <w:color w:val="000000" w:themeColor="text1"/>
          <w:sz w:val="32"/>
          <w:szCs w:val="32"/>
          <w:highlight w:val="none"/>
          <w:u w:val="single"/>
          <w14:textFill>
            <w14:solidFill>
              <w14:schemeClr w14:val="tx1"/>
            </w14:solidFill>
          </w14:textFill>
        </w:rPr>
        <w:t>资阳市政府政务服务和公共资源交易服务中心</w:t>
      </w:r>
      <w:r>
        <w:rPr>
          <w:rFonts w:eastAsia="方正仿宋_GBK"/>
          <w:color w:val="000000" w:themeColor="text1"/>
          <w:sz w:val="32"/>
          <w:szCs w:val="32"/>
          <w:highlight w:val="none"/>
          <w14:textFill>
            <w14:solidFill>
              <w14:schemeClr w14:val="tx1"/>
            </w14:solidFill>
          </w14:textFill>
        </w:rPr>
        <w:t>以</w:t>
      </w:r>
      <w:r>
        <w:rPr>
          <w:rFonts w:hint="eastAsia" w:eastAsia="方正仿宋_GBK"/>
          <w:color w:val="000000" w:themeColor="text1"/>
          <w:sz w:val="32"/>
          <w:szCs w:val="32"/>
          <w:highlight w:val="none"/>
          <w:u w:val="single"/>
          <w14:textFill>
            <w14:solidFill>
              <w14:schemeClr w14:val="tx1"/>
            </w14:solidFill>
          </w14:textFill>
        </w:rPr>
        <w:t>拍卖</w:t>
      </w:r>
      <w:r>
        <w:rPr>
          <w:rFonts w:eastAsia="方正仿宋_GBK"/>
          <w:color w:val="000000" w:themeColor="text1"/>
          <w:sz w:val="32"/>
          <w:szCs w:val="32"/>
          <w:highlight w:val="none"/>
          <w14:textFill>
            <w14:solidFill>
              <w14:schemeClr w14:val="tx1"/>
            </w14:solidFill>
          </w14:textFill>
        </w:rPr>
        <w:t>方式</w:t>
      </w:r>
      <w:r>
        <w:rPr>
          <w:rFonts w:hint="eastAsia" w:eastAsia="方正仿宋_GBK"/>
          <w:color w:val="000000" w:themeColor="text1"/>
          <w:sz w:val="32"/>
          <w:szCs w:val="32"/>
          <w:highlight w:val="none"/>
          <w14:textFill>
            <w14:solidFill>
              <w14:schemeClr w14:val="tx1"/>
            </w14:solidFill>
          </w14:textFill>
        </w:rPr>
        <w:t>公开</w:t>
      </w:r>
      <w:r>
        <w:rPr>
          <w:rFonts w:eastAsia="方正仿宋_GBK"/>
          <w:color w:val="000000" w:themeColor="text1"/>
          <w:sz w:val="32"/>
          <w:szCs w:val="32"/>
          <w:highlight w:val="none"/>
          <w14:textFill>
            <w14:solidFill>
              <w14:schemeClr w14:val="tx1"/>
            </w14:solidFill>
          </w14:textFill>
        </w:rPr>
        <w:t>出让</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临空经济区</w:t>
      </w:r>
      <w:r>
        <w:rPr>
          <w:rFonts w:hint="eastAsia" w:ascii="Times New Roman" w:hAnsi="Times New Roman" w:eastAsia="方正仿宋_GBK" w:cs="Times New Roman"/>
          <w:color w:val="000000" w:themeColor="text1"/>
          <w:kern w:val="0"/>
          <w:sz w:val="32"/>
          <w:szCs w:val="32"/>
          <w:highlight w:val="none"/>
          <w:u w:val="none"/>
          <w:lang w:eastAsia="zh-CN"/>
          <w14:textFill>
            <w14:solidFill>
              <w14:schemeClr w14:val="tx1"/>
            </w14:solidFill>
          </w14:textFill>
        </w:rPr>
        <w:t>两</w:t>
      </w:r>
      <w:r>
        <w:rPr>
          <w:rFonts w:hint="eastAsia" w:ascii="Times New Roman" w:hAnsi="Times New Roman" w:eastAsia="方正仿宋_GBK"/>
          <w:color w:val="000000" w:themeColor="text1"/>
          <w:sz w:val="32"/>
          <w:szCs w:val="32"/>
          <w:highlight w:val="none"/>
          <w14:textFill>
            <w14:solidFill>
              <w14:schemeClr w14:val="tx1"/>
            </w14:solidFill>
          </w14:textFill>
        </w:rPr>
        <w:t>宗</w:t>
      </w:r>
      <w:r>
        <w:rPr>
          <w:rFonts w:eastAsia="方正仿宋_GBK"/>
          <w:color w:val="000000" w:themeColor="text1"/>
          <w:sz w:val="32"/>
          <w:szCs w:val="32"/>
          <w:highlight w:val="none"/>
          <w14:textFill>
            <w14:solidFill>
              <w14:schemeClr w14:val="tx1"/>
            </w14:solidFill>
          </w14:textFill>
        </w:rPr>
        <w:t>国有建设用地使用权。现将有关事项公告如下：</w:t>
      </w:r>
    </w:p>
    <w:p>
      <w:pPr>
        <w:widowControl/>
        <w:spacing w:line="540" w:lineRule="exact"/>
        <w:ind w:left="-80" w:leftChars="-38"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一、出让地块基本情况和规划设计指标要求（详见下表）：</w:t>
      </w:r>
    </w:p>
    <w:tbl>
      <w:tblPr>
        <w:tblStyle w:val="13"/>
        <w:tblpPr w:leftFromText="180" w:rightFromText="180" w:vertAnchor="text" w:horzAnchor="page" w:tblpX="1045" w:tblpY="613"/>
        <w:tblOverlap w:val="never"/>
        <w:tblW w:w="101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0"/>
        <w:gridCol w:w="1465"/>
        <w:gridCol w:w="1060"/>
        <w:gridCol w:w="1010"/>
        <w:gridCol w:w="853"/>
        <w:gridCol w:w="908"/>
        <w:gridCol w:w="759"/>
        <w:gridCol w:w="735"/>
        <w:gridCol w:w="823"/>
        <w:gridCol w:w="852"/>
        <w:gridCol w:w="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trPr>
        <w:tc>
          <w:tcPr>
            <w:tcW w:w="800"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宗地编号</w:t>
            </w:r>
          </w:p>
        </w:tc>
        <w:tc>
          <w:tcPr>
            <w:tcW w:w="1465" w:type="dxa"/>
            <w:vMerge w:val="restart"/>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地块</w:t>
            </w:r>
          </w:p>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位置</w:t>
            </w:r>
          </w:p>
        </w:tc>
        <w:tc>
          <w:tcPr>
            <w:tcW w:w="5325" w:type="dxa"/>
            <w:gridSpan w:val="6"/>
            <w:noWrap/>
            <w:vAlign w:val="center"/>
          </w:tcPr>
          <w:p>
            <w:pPr>
              <w:spacing w:line="300" w:lineRule="exact"/>
              <w:jc w:val="center"/>
              <w:rPr>
                <w:rFonts w:ascii="Times New Roman" w:hAnsi="Times New Roman" w:eastAsia="方正仿宋_GBK" w:cs="Times New Roman"/>
                <w:color w:val="000000" w:themeColor="text1"/>
                <w:spacing w:val="-20"/>
                <w:sz w:val="24"/>
                <w:highlight w:val="none"/>
                <w14:textFill>
                  <w14:solidFill>
                    <w14:schemeClr w14:val="tx1"/>
                  </w14:solidFill>
                </w14:textFill>
              </w:rPr>
            </w:pPr>
            <w:r>
              <w:rPr>
                <w:rFonts w:ascii="Times New Roman" w:hAnsi="Times New Roman" w:eastAsia="方正仿宋_GBK" w:cs="Times New Roman"/>
                <w:color w:val="000000" w:themeColor="text1"/>
                <w:sz w:val="24"/>
                <w:highlight w:val="none"/>
                <w14:textFill>
                  <w14:solidFill>
                    <w14:schemeClr w14:val="tx1"/>
                  </w14:solidFill>
                </w14:textFill>
              </w:rPr>
              <w:t>规划设计主要指标</w:t>
            </w:r>
          </w:p>
        </w:tc>
        <w:tc>
          <w:tcPr>
            <w:tcW w:w="823"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highlight w:val="none"/>
              </w:rPr>
            </w:pPr>
            <w:r>
              <w:rPr>
                <w:rFonts w:hint="default" w:ascii="Times New Roman" w:hAnsi="Times New Roman" w:eastAsia="方正仿宋_GBK" w:cs="Times New Roman"/>
                <w:spacing w:val="-20"/>
                <w:sz w:val="24"/>
                <w:szCs w:val="24"/>
                <w:highlight w:val="none"/>
              </w:rPr>
              <w:t>出让</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kern w:val="2"/>
                <w:sz w:val="24"/>
                <w:szCs w:val="24"/>
                <w:highlight w:val="none"/>
                <w:lang w:val="en-US" w:eastAsia="zh-CN" w:bidi="ar-SA"/>
              </w:rPr>
            </w:pPr>
            <w:r>
              <w:rPr>
                <w:rFonts w:hint="default" w:ascii="Times New Roman" w:hAnsi="Times New Roman" w:eastAsia="方正仿宋_GBK" w:cs="Times New Roman"/>
                <w:spacing w:val="-20"/>
                <w:sz w:val="24"/>
                <w:szCs w:val="24"/>
                <w:highlight w:val="none"/>
              </w:rPr>
              <w:t>年限</w:t>
            </w:r>
          </w:p>
        </w:tc>
        <w:tc>
          <w:tcPr>
            <w:tcW w:w="85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kern w:val="2"/>
                <w:sz w:val="24"/>
                <w:szCs w:val="24"/>
                <w:highlight w:val="none"/>
                <w:lang w:val="en-US" w:eastAsia="zh-CN" w:bidi="ar-SA"/>
              </w:rPr>
            </w:pPr>
            <w:r>
              <w:rPr>
                <w:rFonts w:hint="default" w:ascii="Times New Roman" w:hAnsi="Times New Roman" w:eastAsia="方正仿宋_GBK" w:cs="Times New Roman"/>
                <w:b w:val="0"/>
                <w:bCs w:val="0"/>
                <w:spacing w:val="-20"/>
                <w:sz w:val="24"/>
                <w:szCs w:val="24"/>
                <w:highlight w:val="none"/>
              </w:rPr>
              <w:t>拍卖起叫价（万元）</w:t>
            </w:r>
          </w:p>
        </w:tc>
        <w:tc>
          <w:tcPr>
            <w:tcW w:w="852" w:type="dxa"/>
            <w:vMerge w:val="restart"/>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sz w:val="24"/>
                <w:szCs w:val="24"/>
                <w:highlight w:val="none"/>
              </w:rPr>
            </w:pPr>
            <w:r>
              <w:rPr>
                <w:rFonts w:hint="default" w:ascii="Times New Roman" w:hAnsi="Times New Roman" w:eastAsia="方正仿宋_GBK" w:cs="Times New Roman"/>
                <w:spacing w:val="-20"/>
                <w:sz w:val="24"/>
                <w:szCs w:val="24"/>
                <w:highlight w:val="none"/>
              </w:rPr>
              <w:t>竞买保证金</w:t>
            </w:r>
          </w:p>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hint="default" w:ascii="Times New Roman" w:hAnsi="Times New Roman" w:eastAsia="方正仿宋_GBK" w:cs="Times New Roman"/>
                <w:spacing w:val="-20"/>
                <w:kern w:val="2"/>
                <w:sz w:val="24"/>
                <w:szCs w:val="24"/>
                <w:highlight w:val="none"/>
                <w:lang w:val="en-US" w:eastAsia="zh-CN" w:bidi="ar-SA"/>
              </w:rPr>
            </w:pPr>
            <w:r>
              <w:rPr>
                <w:rFonts w:hint="default" w:ascii="Times New Roman" w:hAnsi="Times New Roman" w:eastAsia="方正仿宋_GBK" w:cs="Times New Roman"/>
                <w:spacing w:val="-20"/>
                <w:sz w:val="24"/>
                <w:szCs w:val="24"/>
                <w:highlight w:val="none"/>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0" w:hRule="atLeast"/>
        </w:trPr>
        <w:tc>
          <w:tcPr>
            <w:tcW w:w="800"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1465"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1060" w:type="dxa"/>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ascii="Times New Roman" w:hAnsi="Times New Roman" w:eastAsia="方正仿宋_GBK" w:cs="Times New Roman"/>
                <w:color w:val="000000" w:themeColor="text1"/>
                <w:sz w:val="24"/>
                <w:highlight w:val="none"/>
                <w14:textFill>
                  <w14:solidFill>
                    <w14:schemeClr w14:val="tx1"/>
                  </w14:solidFill>
                </w14:textFill>
              </w:rPr>
            </w:pPr>
            <w:r>
              <w:rPr>
                <w:rFonts w:hint="eastAsia" w:ascii="Times New Roman" w:hAnsi="Times New Roman" w:eastAsia="方正仿宋_GBK" w:cs="Times New Roman"/>
                <w:sz w:val="24"/>
                <w:szCs w:val="24"/>
                <w:highlight w:val="none"/>
                <w:lang w:eastAsia="zh-CN"/>
              </w:rPr>
              <w:t>宗地</w:t>
            </w:r>
            <w:r>
              <w:rPr>
                <w:rFonts w:hint="default" w:ascii="Times New Roman" w:hAnsi="Times New Roman" w:eastAsia="方正仿宋_GBK" w:cs="Times New Roman"/>
                <w:sz w:val="24"/>
                <w:szCs w:val="24"/>
                <w:highlight w:val="none"/>
              </w:rPr>
              <w:t>面积（㎡）</w:t>
            </w:r>
          </w:p>
        </w:tc>
        <w:tc>
          <w:tcPr>
            <w:tcW w:w="1010" w:type="dxa"/>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ascii="Times New Roman" w:hAnsi="Times New Roman" w:eastAsia="方正仿宋_GBK" w:cs="Times New Roman"/>
                <w:color w:val="000000" w:themeColor="text1"/>
                <w:sz w:val="24"/>
                <w:highlight w:val="none"/>
                <w14:textFill>
                  <w14:solidFill>
                    <w14:schemeClr w14:val="tx1"/>
                  </w14:solidFill>
                </w14:textFill>
              </w:rPr>
            </w:pPr>
            <w:r>
              <w:rPr>
                <w:rFonts w:hint="eastAsia" w:ascii="Times New Roman" w:hAnsi="Times New Roman" w:eastAsia="方正仿宋_GBK" w:cs="Times New Roman"/>
                <w:sz w:val="24"/>
                <w:szCs w:val="24"/>
                <w:highlight w:val="none"/>
                <w:lang w:eastAsia="zh-CN"/>
              </w:rPr>
              <w:t>地块面积</w:t>
            </w:r>
            <w:r>
              <w:rPr>
                <w:rFonts w:hint="default" w:ascii="Times New Roman" w:hAnsi="Times New Roman" w:eastAsia="方正仿宋_GBK" w:cs="Times New Roman"/>
                <w:sz w:val="24"/>
                <w:szCs w:val="24"/>
                <w:highlight w:val="none"/>
              </w:rPr>
              <w:t>（㎡）</w:t>
            </w:r>
          </w:p>
        </w:tc>
        <w:tc>
          <w:tcPr>
            <w:tcW w:w="853" w:type="dxa"/>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ascii="Times New Roman" w:hAnsi="Times New Roman" w:eastAsia="方正仿宋_GBK" w:cs="Times New Roman"/>
                <w:color w:val="000000" w:themeColor="text1"/>
                <w:sz w:val="24"/>
                <w:highlight w:val="none"/>
                <w14:textFill>
                  <w14:solidFill>
                    <w14:schemeClr w14:val="tx1"/>
                  </w14:solidFill>
                </w14:textFill>
              </w:rPr>
            </w:pPr>
            <w:r>
              <w:rPr>
                <w:rFonts w:hint="default" w:ascii="Times New Roman" w:hAnsi="Times New Roman" w:eastAsia="方正仿宋_GBK" w:cs="Times New Roman"/>
                <w:sz w:val="24"/>
                <w:szCs w:val="24"/>
                <w:highlight w:val="none"/>
              </w:rPr>
              <w:t>土地用途</w:t>
            </w:r>
          </w:p>
        </w:tc>
        <w:tc>
          <w:tcPr>
            <w:tcW w:w="908" w:type="dxa"/>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ascii="Times New Roman" w:hAnsi="Times New Roman" w:eastAsia="方正仿宋_GBK" w:cs="Times New Roman"/>
                <w:color w:val="000000" w:themeColor="text1"/>
                <w:sz w:val="24"/>
                <w:highlight w:val="none"/>
                <w14:textFill>
                  <w14:solidFill>
                    <w14:schemeClr w14:val="tx1"/>
                  </w14:solidFill>
                </w14:textFill>
              </w:rPr>
            </w:pPr>
            <w:r>
              <w:rPr>
                <w:rFonts w:hint="default" w:ascii="Times New Roman" w:hAnsi="Times New Roman" w:eastAsia="方正仿宋_GBK" w:cs="Times New Roman"/>
                <w:sz w:val="24"/>
                <w:szCs w:val="24"/>
                <w:highlight w:val="none"/>
              </w:rPr>
              <w:t>容积率</w:t>
            </w:r>
          </w:p>
        </w:tc>
        <w:tc>
          <w:tcPr>
            <w:tcW w:w="759" w:type="dxa"/>
            <w:noWrap/>
            <w:vAlign w:val="center"/>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ascii="Times New Roman" w:hAnsi="Times New Roman" w:eastAsia="方正仿宋_GBK" w:cs="Times New Roman"/>
                <w:color w:val="000000" w:themeColor="text1"/>
                <w:sz w:val="24"/>
                <w:highlight w:val="none"/>
                <w14:textFill>
                  <w14:solidFill>
                    <w14:schemeClr w14:val="tx1"/>
                  </w14:solidFill>
                </w14:textFill>
              </w:rPr>
            </w:pPr>
            <w:r>
              <w:rPr>
                <w:rFonts w:hint="default" w:ascii="Times New Roman" w:hAnsi="Times New Roman" w:eastAsia="方正仿宋_GBK" w:cs="Times New Roman"/>
                <w:sz w:val="24"/>
                <w:szCs w:val="24"/>
                <w:highlight w:val="none"/>
              </w:rPr>
              <w:t>建筑密度（%）</w:t>
            </w:r>
          </w:p>
        </w:tc>
        <w:tc>
          <w:tcPr>
            <w:tcW w:w="735" w:type="dxa"/>
            <w:noWrap/>
            <w:vAlign w:val="top"/>
          </w:tcPr>
          <w:p>
            <w:pPr>
              <w:keepNext w:val="0"/>
              <w:keepLines w:val="0"/>
              <w:pageBreakBefore w:val="0"/>
              <w:widowControl w:val="0"/>
              <w:kinsoku/>
              <w:wordWrap/>
              <w:overflowPunct/>
              <w:topLinePunct w:val="0"/>
              <w:autoSpaceDE/>
              <w:autoSpaceDN/>
              <w:bidi w:val="0"/>
              <w:adjustRightInd/>
              <w:snapToGrid/>
              <w:spacing w:line="320" w:lineRule="exact"/>
              <w:ind w:right="0" w:rightChars="0"/>
              <w:jc w:val="center"/>
              <w:textAlignment w:val="auto"/>
              <w:rPr>
                <w:rFonts w:ascii="Times New Roman" w:hAnsi="Times New Roman" w:eastAsia="方正仿宋_GBK" w:cs="Times New Roman"/>
                <w:color w:val="000000" w:themeColor="text1"/>
                <w:sz w:val="24"/>
                <w:highlight w:val="none"/>
                <w14:textFill>
                  <w14:solidFill>
                    <w14:schemeClr w14:val="tx1"/>
                  </w14:solidFill>
                </w14:textFill>
              </w:rPr>
            </w:pPr>
            <w:r>
              <w:rPr>
                <w:rFonts w:hint="default" w:ascii="Times New Roman" w:hAnsi="Times New Roman" w:eastAsia="方正仿宋_GBK" w:cs="Times New Roman"/>
                <w:sz w:val="24"/>
                <w:szCs w:val="24"/>
                <w:highlight w:val="none"/>
              </w:rPr>
              <w:t>绿地率（%）</w:t>
            </w:r>
          </w:p>
        </w:tc>
        <w:tc>
          <w:tcPr>
            <w:tcW w:w="823"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852"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c>
          <w:tcPr>
            <w:tcW w:w="852" w:type="dxa"/>
            <w:vMerge w:val="continue"/>
            <w:noWrap/>
            <w:vAlign w:val="center"/>
          </w:tcPr>
          <w:p>
            <w:pPr>
              <w:spacing w:line="300" w:lineRule="exact"/>
              <w:jc w:val="center"/>
              <w:rPr>
                <w:rFonts w:ascii="Times New Roman" w:hAnsi="Times New Roman" w:eastAsia="方正仿宋_GBK" w:cs="Times New Roman"/>
                <w:color w:val="000000" w:themeColor="text1"/>
                <w:sz w:val="24"/>
                <w:highlight w:val="none"/>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800" w:type="dxa"/>
            <w:vMerge w:val="restart"/>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14:textFill>
                  <w14:solidFill>
                    <w14:schemeClr w14:val="tx1"/>
                  </w14:solidFill>
                </w14:textFill>
              </w:rPr>
              <w:t>LKYD—2022—</w:t>
            </w: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030</w:t>
            </w:r>
          </w:p>
        </w:tc>
        <w:tc>
          <w:tcPr>
            <w:tcW w:w="1465" w:type="dxa"/>
            <w:vMerge w:val="restart"/>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资阳临空经济区清泉先进制造研发组团，成资大道以南，清泉7号路以东</w:t>
            </w:r>
          </w:p>
        </w:tc>
        <w:tc>
          <w:tcPr>
            <w:tcW w:w="1060" w:type="dxa"/>
            <w:vMerge w:val="restart"/>
            <w:noWrap/>
            <w:vAlign w:val="center"/>
          </w:tcPr>
          <w:p>
            <w:pPr>
              <w:spacing w:line="300" w:lineRule="exact"/>
              <w:jc w:val="center"/>
              <w:rPr>
                <w:rFonts w:hint="default"/>
                <w:highlight w:val="none"/>
                <w:lang w:val="en-US" w:eastAsia="zh-CN"/>
              </w:rPr>
            </w:pPr>
            <w:r>
              <w:rPr>
                <w:rFonts w:hint="eastAsia"/>
                <w:highlight w:val="none"/>
                <w:lang w:val="en-US" w:eastAsia="zh-CN"/>
              </w:rPr>
              <w:t>69764.82（104.65亩）</w:t>
            </w:r>
          </w:p>
        </w:tc>
        <w:tc>
          <w:tcPr>
            <w:tcW w:w="1010"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14:textFill>
                  <w14:solidFill>
                    <w14:schemeClr w14:val="tx1"/>
                  </w14:solidFill>
                </w14:textFill>
              </w:rPr>
            </w:pPr>
            <w:r>
              <w:rPr>
                <w:rFonts w:hint="eastAsia"/>
                <w:highlight w:val="none"/>
                <w:lang w:val="en-US" w:eastAsia="zh-CN"/>
              </w:rPr>
              <w:t>地块一66768.14</w:t>
            </w:r>
          </w:p>
        </w:tc>
        <w:tc>
          <w:tcPr>
            <w:tcW w:w="853"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城镇住宅用地</w:t>
            </w:r>
          </w:p>
        </w:tc>
        <w:tc>
          <w:tcPr>
            <w:tcW w:w="908"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≤2.0且≥1.0</w:t>
            </w:r>
          </w:p>
        </w:tc>
        <w:tc>
          <w:tcPr>
            <w:tcW w:w="759"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≤30</w:t>
            </w:r>
          </w:p>
        </w:tc>
        <w:tc>
          <w:tcPr>
            <w:tcW w:w="735" w:type="dxa"/>
            <w:noWrap/>
            <w:vAlign w:val="center"/>
          </w:tcPr>
          <w:p>
            <w:pPr>
              <w:spacing w:line="300" w:lineRule="exact"/>
              <w:jc w:val="center"/>
              <w:rPr>
                <w:rFonts w:ascii="Times New Roman" w:hAnsi="Times New Roman" w:eastAsia="方正仿宋_GBK" w:cs="Times New Roman"/>
                <w:color w:val="000000" w:themeColor="text1"/>
                <w:szCs w:val="21"/>
                <w:highlight w:val="none"/>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≥30</w:t>
            </w:r>
          </w:p>
        </w:tc>
        <w:tc>
          <w:tcPr>
            <w:tcW w:w="823"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70年</w:t>
            </w:r>
          </w:p>
        </w:tc>
        <w:tc>
          <w:tcPr>
            <w:tcW w:w="852" w:type="dxa"/>
            <w:vMerge w:val="restart"/>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23600</w:t>
            </w:r>
          </w:p>
        </w:tc>
        <w:tc>
          <w:tcPr>
            <w:tcW w:w="852" w:type="dxa"/>
            <w:vMerge w:val="restart"/>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4720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trPr>
        <w:tc>
          <w:tcPr>
            <w:tcW w:w="800" w:type="dxa"/>
            <w:vMerge w:val="continue"/>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p>
        </w:tc>
        <w:tc>
          <w:tcPr>
            <w:tcW w:w="1465" w:type="dxa"/>
            <w:vMerge w:val="continue"/>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pPr>
          </w:p>
        </w:tc>
        <w:tc>
          <w:tcPr>
            <w:tcW w:w="1060" w:type="dxa"/>
            <w:vMerge w:val="continue"/>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p>
        </w:tc>
        <w:tc>
          <w:tcPr>
            <w:tcW w:w="1010" w:type="dxa"/>
            <w:noWrap/>
            <w:vAlign w:val="center"/>
          </w:tcPr>
          <w:p>
            <w:pPr>
              <w:spacing w:line="300" w:lineRule="exact"/>
              <w:jc w:val="center"/>
              <w:rPr>
                <w:rFonts w:hint="eastAsia"/>
                <w:highlight w:val="none"/>
                <w:lang w:val="en-US" w:eastAsia="zh-CN"/>
              </w:rPr>
            </w:pPr>
            <w:r>
              <w:rPr>
                <w:rFonts w:hint="eastAsia"/>
                <w:highlight w:val="none"/>
                <w:lang w:val="en-US" w:eastAsia="zh-CN"/>
              </w:rPr>
              <w:t>地块二</w:t>
            </w:r>
          </w:p>
          <w:p>
            <w:pPr>
              <w:spacing w:line="300" w:lineRule="exact"/>
              <w:jc w:val="center"/>
              <w:rPr>
                <w:rFonts w:hint="default"/>
                <w:highlight w:val="none"/>
                <w:lang w:val="en-US" w:eastAsia="zh-CN"/>
              </w:rPr>
            </w:pPr>
            <w:r>
              <w:rPr>
                <w:rFonts w:hint="eastAsia"/>
                <w:highlight w:val="none"/>
                <w:lang w:val="en-US" w:eastAsia="zh-CN"/>
              </w:rPr>
              <w:t>2996.68</w:t>
            </w:r>
          </w:p>
        </w:tc>
        <w:tc>
          <w:tcPr>
            <w:tcW w:w="853"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城镇住宅用地</w:t>
            </w:r>
          </w:p>
        </w:tc>
        <w:tc>
          <w:tcPr>
            <w:tcW w:w="908"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≤2.0且≥1.0</w:t>
            </w:r>
          </w:p>
        </w:tc>
        <w:tc>
          <w:tcPr>
            <w:tcW w:w="759"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≤30</w:t>
            </w:r>
          </w:p>
        </w:tc>
        <w:tc>
          <w:tcPr>
            <w:tcW w:w="735"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≥30</w:t>
            </w:r>
          </w:p>
        </w:tc>
        <w:tc>
          <w:tcPr>
            <w:tcW w:w="823"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70年</w:t>
            </w:r>
          </w:p>
        </w:tc>
        <w:tc>
          <w:tcPr>
            <w:tcW w:w="852" w:type="dxa"/>
            <w:vMerge w:val="continue"/>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p>
        </w:tc>
        <w:tc>
          <w:tcPr>
            <w:tcW w:w="852" w:type="dxa"/>
            <w:vMerge w:val="continue"/>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6" w:hRule="atLeast"/>
        </w:trPr>
        <w:tc>
          <w:tcPr>
            <w:tcW w:w="800"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14:textFill>
                  <w14:solidFill>
                    <w14:schemeClr w14:val="tx1"/>
                  </w14:solidFill>
                </w14:textFill>
              </w:rPr>
              <w:t>LKYD—2022—0</w:t>
            </w: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31</w:t>
            </w:r>
          </w:p>
        </w:tc>
        <w:tc>
          <w:tcPr>
            <w:tcW w:w="1465"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资阳临空经济区清泉先进制造研发组团，成资大道以南，清泉7号路以东</w:t>
            </w:r>
          </w:p>
        </w:tc>
        <w:tc>
          <w:tcPr>
            <w:tcW w:w="1060" w:type="dxa"/>
            <w:noWrap/>
            <w:vAlign w:val="center"/>
          </w:tcPr>
          <w:p>
            <w:pPr>
              <w:spacing w:line="300" w:lineRule="exact"/>
              <w:jc w:val="center"/>
              <w:rPr>
                <w:rFonts w:hint="eastAsia"/>
                <w:highlight w:val="none"/>
                <w:lang w:val="en-US" w:eastAsia="zh-CN"/>
              </w:rPr>
            </w:pPr>
            <w:r>
              <w:rPr>
                <w:rFonts w:hint="eastAsia"/>
                <w:highlight w:val="none"/>
                <w:lang w:val="en-US" w:eastAsia="zh-CN"/>
              </w:rPr>
              <w:t>84783.87</w:t>
            </w:r>
          </w:p>
          <w:p>
            <w:pPr>
              <w:pStyle w:val="2"/>
              <w:ind w:left="0" w:leftChars="0" w:firstLine="0" w:firstLineChars="0"/>
              <w:rPr>
                <w:rFonts w:hint="default"/>
                <w:highlight w:val="none"/>
                <w:lang w:val="en-US" w:eastAsia="zh-CN"/>
              </w:rPr>
            </w:pPr>
            <w:r>
              <w:rPr>
                <w:rFonts w:hint="eastAsia" w:asciiTheme="minorHAnsi" w:hAnsiTheme="minorHAnsi" w:eastAsiaTheme="minorEastAsia" w:cstheme="minorBidi"/>
                <w:kern w:val="2"/>
                <w:sz w:val="21"/>
                <w:szCs w:val="24"/>
                <w:highlight w:val="none"/>
                <w:lang w:val="en-US" w:eastAsia="zh-CN" w:bidi="ar-SA"/>
              </w:rPr>
              <w:t>（127.18亩）</w:t>
            </w:r>
          </w:p>
        </w:tc>
        <w:tc>
          <w:tcPr>
            <w:tcW w:w="1010"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w:t>
            </w:r>
          </w:p>
        </w:tc>
        <w:tc>
          <w:tcPr>
            <w:tcW w:w="853"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城镇住宅用地</w:t>
            </w:r>
          </w:p>
        </w:tc>
        <w:tc>
          <w:tcPr>
            <w:tcW w:w="908"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≤2.0且≥1.0</w:t>
            </w:r>
          </w:p>
        </w:tc>
        <w:tc>
          <w:tcPr>
            <w:tcW w:w="759"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≤30</w:t>
            </w:r>
          </w:p>
        </w:tc>
        <w:tc>
          <w:tcPr>
            <w:tcW w:w="735" w:type="dxa"/>
            <w:noWrap/>
            <w:vAlign w:val="center"/>
          </w:tcPr>
          <w:p>
            <w:pPr>
              <w:spacing w:line="300" w:lineRule="exact"/>
              <w:jc w:val="cente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eastAsia="zh-CN"/>
                <w14:textFill>
                  <w14:solidFill>
                    <w14:schemeClr w14:val="tx1"/>
                  </w14:solidFill>
                </w14:textFill>
              </w:rPr>
              <w:t>≥30</w:t>
            </w:r>
          </w:p>
        </w:tc>
        <w:tc>
          <w:tcPr>
            <w:tcW w:w="823"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70年</w:t>
            </w:r>
          </w:p>
        </w:tc>
        <w:tc>
          <w:tcPr>
            <w:tcW w:w="852"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29800</w:t>
            </w:r>
          </w:p>
        </w:tc>
        <w:tc>
          <w:tcPr>
            <w:tcW w:w="852" w:type="dxa"/>
            <w:noWrap/>
            <w:vAlign w:val="center"/>
          </w:tcPr>
          <w:p>
            <w:pPr>
              <w:spacing w:line="300" w:lineRule="exact"/>
              <w:jc w:val="center"/>
              <w:rPr>
                <w:rFonts w:hint="default" w:ascii="Times New Roman" w:hAnsi="Times New Roman" w:eastAsia="方正仿宋_GBK" w:cs="Times New Roman"/>
                <w:color w:val="000000" w:themeColor="text1"/>
                <w:szCs w:val="21"/>
                <w:highlight w:val="none"/>
                <w:lang w:val="en-US" w:eastAsia="zh-CN"/>
                <w14:textFill>
                  <w14:solidFill>
                    <w14:schemeClr w14:val="tx1"/>
                  </w14:solidFill>
                </w14:textFill>
              </w:rPr>
            </w:pPr>
            <w:r>
              <w:rPr>
                <w:rFonts w:hint="eastAsia" w:ascii="Times New Roman" w:hAnsi="Times New Roman" w:eastAsia="方正仿宋_GBK" w:cs="Times New Roman"/>
                <w:color w:val="000000" w:themeColor="text1"/>
                <w:szCs w:val="21"/>
                <w:highlight w:val="none"/>
                <w:lang w:val="en-US" w:eastAsia="zh-CN"/>
                <w14:textFill>
                  <w14:solidFill>
                    <w14:schemeClr w14:val="tx1"/>
                  </w14:solidFill>
                </w14:textFill>
              </w:rPr>
              <w:t>5960</w:t>
            </w:r>
          </w:p>
        </w:tc>
      </w:tr>
    </w:tbl>
    <w:p>
      <w:pPr>
        <w:spacing w:line="530" w:lineRule="exact"/>
        <w:ind w:firstLine="642" w:firstLineChars="200"/>
        <w:rPr>
          <w:rFonts w:ascii="Times New Roman" w:hAnsi="Times New Roman" w:eastAsia="方正仿宋_GBK" w:cs="Times New Roman"/>
          <w:bCs/>
          <w:color w:val="000000" w:themeColor="text1"/>
          <w:sz w:val="32"/>
          <w:szCs w:val="32"/>
          <w:highlight w:val="none"/>
          <w14:textFill>
            <w14:solidFill>
              <w14:schemeClr w14:val="tx1"/>
            </w14:solidFill>
          </w14:textFill>
        </w:rPr>
      </w:pPr>
      <w:r>
        <w:rPr>
          <w:rFonts w:ascii="Times New Roman" w:hAnsi="Times New Roman" w:eastAsia="方正仿宋_GBK" w:cs="Times New Roman"/>
          <w:b/>
          <w:color w:val="000000" w:themeColor="text1"/>
          <w:sz w:val="32"/>
          <w:szCs w:val="32"/>
          <w:highlight w:val="none"/>
          <w14:textFill>
            <w14:solidFill>
              <w14:schemeClr w14:val="tx1"/>
            </w14:solidFill>
          </w14:textFill>
        </w:rPr>
        <w:t>二、</w:t>
      </w:r>
      <w:r>
        <w:rPr>
          <w:rFonts w:ascii="Times New Roman" w:hAnsi="Times New Roman" w:eastAsia="方正仿宋_GBK" w:cs="Times New Roman"/>
          <w:color w:val="000000" w:themeColor="text1"/>
          <w:sz w:val="32"/>
          <w:szCs w:val="32"/>
          <w:highlight w:val="none"/>
          <w14:textFill>
            <w14:solidFill>
              <w14:schemeClr w14:val="tx1"/>
            </w14:solidFill>
          </w14:textFill>
        </w:rPr>
        <w:t>中华人民共和国境内外的法人、自然人和其他组织均可申请参加，申请人可以单独申请，也可以联合申请。</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但出让文件中有特殊要求或法律法规对申请人另有限制的除外。</w:t>
      </w:r>
    </w:p>
    <w:p>
      <w:pPr>
        <w:spacing w:line="530" w:lineRule="exact"/>
        <w:ind w:firstLine="642" w:firstLineChars="200"/>
        <w:rPr>
          <w:rFonts w:eastAsia="方正仿宋_GBK"/>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三</w:t>
      </w:r>
      <w:r>
        <w:rPr>
          <w:rFonts w:ascii="Times New Roman" w:hAnsi="Times New Roman" w:eastAsia="方正仿宋_GBK" w:cs="Times New Roman"/>
          <w:color w:val="000000" w:themeColor="text1"/>
          <w:sz w:val="32"/>
          <w:szCs w:val="32"/>
          <w:highlight w:val="none"/>
          <w14:textFill>
            <w14:solidFill>
              <w14:schemeClr w14:val="tx1"/>
            </w14:solidFill>
          </w14:textFill>
        </w:rPr>
        <w:t>、本次地表国有建设用地使用权采用</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有底价拍卖</w:t>
      </w:r>
      <w:r>
        <w:rPr>
          <w:rFonts w:ascii="Times New Roman" w:hAnsi="Times New Roman" w:eastAsia="方正仿宋_GBK" w:cs="Times New Roman"/>
          <w:color w:val="000000" w:themeColor="text1"/>
          <w:sz w:val="32"/>
          <w:szCs w:val="32"/>
          <w:highlight w:val="none"/>
          <w14:textFill>
            <w14:solidFill>
              <w14:schemeClr w14:val="tx1"/>
            </w14:solidFill>
          </w14:textFill>
        </w:rPr>
        <w:t>出让，按照不低于底价的价高者得的</w:t>
      </w:r>
      <w:r>
        <w:rPr>
          <w:rFonts w:hint="eastAsia" w:eastAsia="方正仿宋_GBK"/>
          <w:color w:val="000000" w:themeColor="text1"/>
          <w:sz w:val="32"/>
          <w:szCs w:val="32"/>
          <w:highlight w:val="none"/>
          <w14:textFill>
            <w14:solidFill>
              <w14:schemeClr w14:val="tx1"/>
            </w14:solidFill>
          </w14:textFill>
        </w:rPr>
        <w:t>原则确定竞得人。</w:t>
      </w:r>
    </w:p>
    <w:p>
      <w:pPr>
        <w:spacing w:line="530" w:lineRule="exact"/>
        <w:ind w:firstLine="642" w:firstLineChars="200"/>
        <w:rPr>
          <w:rFonts w:ascii="Times New Roman" w:hAnsi="Times New Roman" w:eastAsia="方正仿宋_GBK" w:cs="Times New Roman"/>
          <w:sz w:val="32"/>
          <w:szCs w:val="32"/>
          <w:highlight w:val="none"/>
        </w:rPr>
      </w:pPr>
      <w:r>
        <w:rPr>
          <w:rFonts w:ascii="Times New Roman" w:hAnsi="Times New Roman" w:eastAsia="方正仿宋_GBK" w:cs="Times New Roman"/>
          <w:b/>
          <w:bCs/>
          <w:sz w:val="32"/>
          <w:szCs w:val="32"/>
          <w:highlight w:val="none"/>
        </w:rPr>
        <w:t>四</w:t>
      </w:r>
      <w:r>
        <w:rPr>
          <w:rFonts w:ascii="Times New Roman" w:hAnsi="Times New Roman" w:eastAsia="方正仿宋_GBK" w:cs="Times New Roman"/>
          <w:sz w:val="32"/>
          <w:szCs w:val="32"/>
          <w:highlight w:val="none"/>
        </w:rPr>
        <w:t>、交纳竞买保证金的截止时间为</w:t>
      </w:r>
      <w:r>
        <w:rPr>
          <w:rFonts w:ascii="Times New Roman" w:hAnsi="Times New Roman" w:eastAsia="方正仿宋_GBK" w:cs="Times New Roman"/>
          <w:sz w:val="32"/>
          <w:szCs w:val="32"/>
          <w:highlight w:val="none"/>
          <w:u w:val="single"/>
        </w:rPr>
        <w:t>202</w:t>
      </w:r>
      <w:r>
        <w:rPr>
          <w:rFonts w:hint="eastAsia" w:ascii="Times New Roman" w:hAnsi="Times New Roman" w:eastAsia="方正仿宋_GBK" w:cs="Times New Roman"/>
          <w:sz w:val="32"/>
          <w:szCs w:val="32"/>
          <w:highlight w:val="none"/>
          <w:u w:val="single"/>
          <w:lang w:val="en-US" w:eastAsia="zh-CN"/>
        </w:rPr>
        <w:t>3</w:t>
      </w:r>
      <w:r>
        <w:rPr>
          <w:rFonts w:ascii="Times New Roman" w:hAnsi="Times New Roman" w:eastAsia="方正仿宋_GBK" w:cs="Times New Roman"/>
          <w:sz w:val="32"/>
          <w:szCs w:val="32"/>
          <w:highlight w:val="none"/>
          <w:u w:val="single"/>
        </w:rPr>
        <w:t>年</w:t>
      </w:r>
      <w:r>
        <w:rPr>
          <w:rFonts w:hint="eastAsia" w:ascii="Times New Roman" w:hAnsi="Times New Roman" w:eastAsia="方正仿宋_GBK" w:cs="Times New Roman"/>
          <w:sz w:val="32"/>
          <w:szCs w:val="32"/>
          <w:highlight w:val="none"/>
          <w:u w:val="single"/>
          <w:lang w:val="en-US" w:eastAsia="zh-CN"/>
        </w:rPr>
        <w:t>5</w:t>
      </w:r>
      <w:r>
        <w:rPr>
          <w:rFonts w:ascii="Times New Roman" w:hAnsi="Times New Roman" w:eastAsia="方正仿宋_GBK" w:cs="Times New Roman"/>
          <w:sz w:val="32"/>
          <w:szCs w:val="32"/>
          <w:highlight w:val="none"/>
          <w:u w:val="single"/>
        </w:rPr>
        <w:t>月</w:t>
      </w:r>
      <w:r>
        <w:rPr>
          <w:rFonts w:hint="eastAsia" w:ascii="Times New Roman" w:hAnsi="Times New Roman" w:eastAsia="方正仿宋_GBK" w:cs="Times New Roman"/>
          <w:sz w:val="32"/>
          <w:szCs w:val="32"/>
          <w:highlight w:val="none"/>
          <w:u w:val="single"/>
          <w:lang w:val="en-US" w:eastAsia="zh-CN"/>
        </w:rPr>
        <w:t>29</w:t>
      </w:r>
      <w:r>
        <w:rPr>
          <w:rFonts w:ascii="Times New Roman" w:hAnsi="Times New Roman" w:eastAsia="方正仿宋_GBK" w:cs="Times New Roman"/>
          <w:sz w:val="32"/>
          <w:szCs w:val="32"/>
          <w:highlight w:val="none"/>
          <w:u w:val="single"/>
        </w:rPr>
        <w:t>日16 时</w:t>
      </w:r>
      <w:r>
        <w:rPr>
          <w:rFonts w:ascii="Times New Roman" w:hAnsi="Times New Roman" w:eastAsia="方正仿宋_GBK" w:cs="Times New Roman"/>
          <w:sz w:val="32"/>
          <w:szCs w:val="32"/>
          <w:highlight w:val="none"/>
        </w:rPr>
        <w:t>止（以竞买保证金到账时间为准），具体的银行账户详见</w:t>
      </w:r>
      <w:r>
        <w:rPr>
          <w:rFonts w:hint="eastAsia" w:ascii="Times New Roman" w:hAnsi="Times New Roman" w:eastAsia="方正仿宋_GBK" w:cs="Times New Roman"/>
          <w:sz w:val="32"/>
          <w:szCs w:val="32"/>
          <w:highlight w:val="none"/>
        </w:rPr>
        <w:t>拍卖</w:t>
      </w:r>
      <w:r>
        <w:rPr>
          <w:rFonts w:ascii="Times New Roman" w:hAnsi="Times New Roman" w:eastAsia="方正仿宋_GBK" w:cs="Times New Roman"/>
          <w:sz w:val="32"/>
          <w:szCs w:val="32"/>
          <w:highlight w:val="none"/>
        </w:rPr>
        <w:t>出让文件。</w:t>
      </w:r>
    </w:p>
    <w:p>
      <w:pPr>
        <w:tabs>
          <w:tab w:val="left" w:pos="3620"/>
        </w:tabs>
        <w:spacing w:line="540" w:lineRule="exact"/>
        <w:ind w:firstLine="640" w:firstLineChars="200"/>
        <w:rPr>
          <w:rFonts w:hint="eastAsia" w:ascii="Times New Roman" w:hAnsi="Times New Roman" w:eastAsia="方正仿宋_GBK" w:cs="Times New Roman"/>
          <w:sz w:val="32"/>
          <w:szCs w:val="32"/>
          <w:highlight w:val="none"/>
          <w:lang w:val="en-US" w:eastAsia="zh-CN"/>
        </w:rPr>
      </w:pP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五</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、报名方式及时间：本次报名采取</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网上报名</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方式；竞买申请人请于</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9</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日</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至</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29</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日16:00 时</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登陆全国公共资源交易平台（四川省·资阳市）（http://ggzyjyzx.ziyang.gov.cn）</w:t>
      </w:r>
      <w:r>
        <w:rPr>
          <w:rFonts w:hint="eastAsia" w:ascii="Times New Roman" w:hAnsi="Times New Roman" w:eastAsia="方正仿宋_GBK" w:cs="Times New Roman"/>
          <w:b/>
          <w:bCs/>
          <w:color w:val="000000" w:themeColor="text1"/>
          <w:kern w:val="0"/>
          <w:sz w:val="32"/>
          <w:szCs w:val="32"/>
          <w:highlight w:val="none"/>
          <w14:textFill>
            <w14:solidFill>
              <w14:schemeClr w14:val="tx1"/>
            </w14:solidFill>
          </w14:textFill>
        </w:rPr>
        <w:t>业务办理—操作手册</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中查阅《资阳CA数字证书新购、续期流程》及《资阳市土地出让竞买人操作手册》</w:t>
      </w:r>
      <w:r>
        <w:rPr>
          <w:rFonts w:hint="eastAsia" w:ascii="Times New Roman" w:hAnsi="Times New Roman" w:eastAsia="方正仿宋_GBK" w:cs="Times New Roman"/>
          <w:sz w:val="32"/>
          <w:szCs w:val="32"/>
          <w:highlight w:val="none"/>
          <w:lang w:eastAsia="zh-CN"/>
        </w:rPr>
        <w:t>进行报名</w:t>
      </w:r>
      <w:r>
        <w:rPr>
          <w:rFonts w:hint="eastAsia" w:ascii="Times New Roman" w:hAnsi="Times New Roman" w:eastAsia="方正仿宋_GBK" w:cs="Times New Roman"/>
          <w:color w:val="000000"/>
          <w:kern w:val="0"/>
          <w:sz w:val="32"/>
          <w:szCs w:val="32"/>
          <w:highlight w:val="none"/>
        </w:rPr>
        <w:t>，并于</w:t>
      </w:r>
      <w:r>
        <w:rPr>
          <w:rFonts w:hint="eastAsia" w:ascii="Times New Roman" w:hAnsi="Times New Roman" w:eastAsia="方正仿宋_GBK" w:cs="Times New Roman"/>
          <w:color w:val="000000"/>
          <w:kern w:val="0"/>
          <w:sz w:val="32"/>
          <w:szCs w:val="32"/>
          <w:highlight w:val="none"/>
          <w:u w:val="single"/>
        </w:rPr>
        <w:t xml:space="preserve"> 202</w:t>
      </w:r>
      <w:r>
        <w:rPr>
          <w:rFonts w:hint="eastAsia" w:ascii="Times New Roman" w:hAnsi="Times New Roman" w:eastAsia="方正仿宋_GBK" w:cs="Times New Roman"/>
          <w:color w:val="000000"/>
          <w:kern w:val="0"/>
          <w:sz w:val="32"/>
          <w:szCs w:val="32"/>
          <w:highlight w:val="none"/>
          <w:u w:val="single"/>
          <w:lang w:val="en-US" w:eastAsia="zh-CN"/>
        </w:rPr>
        <w:t>3</w:t>
      </w:r>
      <w:r>
        <w:rPr>
          <w:rFonts w:hint="eastAsia" w:ascii="Times New Roman" w:hAnsi="Times New Roman" w:eastAsia="方正仿宋_GBK" w:cs="Times New Roman"/>
          <w:color w:val="000000"/>
          <w:kern w:val="0"/>
          <w:sz w:val="32"/>
          <w:szCs w:val="32"/>
          <w:highlight w:val="none"/>
          <w:u w:val="single"/>
        </w:rPr>
        <w:t>年</w:t>
      </w:r>
      <w:r>
        <w:rPr>
          <w:rFonts w:hint="eastAsia" w:ascii="Times New Roman" w:hAnsi="Times New Roman" w:eastAsia="方正仿宋_GBK" w:cs="Times New Roman"/>
          <w:color w:val="000000"/>
          <w:kern w:val="0"/>
          <w:sz w:val="32"/>
          <w:szCs w:val="32"/>
          <w:highlight w:val="none"/>
          <w:u w:val="single"/>
          <w:lang w:val="en-US" w:eastAsia="zh-CN"/>
        </w:rPr>
        <w:t xml:space="preserve"> 5</w:t>
      </w:r>
      <w:r>
        <w:rPr>
          <w:rFonts w:hint="eastAsia" w:ascii="Times New Roman" w:hAnsi="Times New Roman" w:eastAsia="方正仿宋_GBK" w:cs="Times New Roman"/>
          <w:color w:val="000000"/>
          <w:kern w:val="0"/>
          <w:sz w:val="32"/>
          <w:szCs w:val="32"/>
          <w:highlight w:val="none"/>
          <w:u w:val="single"/>
        </w:rPr>
        <w:t>月</w:t>
      </w:r>
      <w:r>
        <w:rPr>
          <w:rFonts w:hint="eastAsia" w:ascii="Times New Roman" w:hAnsi="Times New Roman" w:eastAsia="方正仿宋_GBK" w:cs="Times New Roman"/>
          <w:color w:val="000000"/>
          <w:kern w:val="0"/>
          <w:sz w:val="32"/>
          <w:szCs w:val="32"/>
          <w:highlight w:val="none"/>
          <w:u w:val="single"/>
          <w:lang w:val="en-US" w:eastAsia="zh-CN"/>
        </w:rPr>
        <w:t xml:space="preserve"> 9</w:t>
      </w:r>
      <w:r>
        <w:rPr>
          <w:rFonts w:hint="eastAsia" w:ascii="Times New Roman" w:hAnsi="Times New Roman" w:eastAsia="方正仿宋_GBK" w:cs="Times New Roman"/>
          <w:color w:val="000000"/>
          <w:kern w:val="0"/>
          <w:sz w:val="32"/>
          <w:szCs w:val="32"/>
          <w:highlight w:val="none"/>
          <w:u w:val="single"/>
        </w:rPr>
        <w:t>日</w:t>
      </w:r>
      <w:r>
        <w:rPr>
          <w:rFonts w:hint="eastAsia" w:ascii="Times New Roman" w:hAnsi="Times New Roman" w:eastAsia="方正仿宋_GBK" w:cs="Times New Roman"/>
          <w:color w:val="000000"/>
          <w:kern w:val="0"/>
          <w:sz w:val="32"/>
          <w:szCs w:val="32"/>
          <w:highlight w:val="none"/>
        </w:rPr>
        <w:t>起下载出让文件</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。CA办理咨询电话：王老师 028-26731203</w:t>
      </w: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w:t>
      </w:r>
      <w:r>
        <w:rPr>
          <w:rFonts w:hint="eastAsia" w:ascii="Times New Roman" w:hAnsi="Times New Roman" w:eastAsia="方正仿宋_GBK" w:cs="Times New Roman"/>
          <w:sz w:val="32"/>
          <w:szCs w:val="32"/>
          <w:highlight w:val="none"/>
        </w:rPr>
        <w:t>网上报名技术咨询电话：</w:t>
      </w:r>
      <w:r>
        <w:rPr>
          <w:rFonts w:hint="eastAsia" w:ascii="Times New Roman" w:hAnsi="Times New Roman" w:eastAsia="方正仿宋_GBK" w:cs="Times New Roman"/>
          <w:sz w:val="32"/>
          <w:szCs w:val="32"/>
          <w:highlight w:val="none"/>
          <w:lang w:eastAsia="zh-CN"/>
        </w:rPr>
        <w:t>张老师</w:t>
      </w:r>
      <w:r>
        <w:rPr>
          <w:rFonts w:hint="eastAsia" w:ascii="Times New Roman" w:hAnsi="Times New Roman" w:eastAsia="方正仿宋_GBK" w:cs="Times New Roman"/>
          <w:sz w:val="32"/>
          <w:szCs w:val="32"/>
          <w:highlight w:val="none"/>
          <w:lang w:val="en-US" w:eastAsia="zh-CN"/>
        </w:rPr>
        <w:t>15308207915。</w:t>
      </w:r>
    </w:p>
    <w:p>
      <w:pPr>
        <w:tabs>
          <w:tab w:val="left" w:pos="3620"/>
        </w:tabs>
        <w:spacing w:line="540" w:lineRule="exact"/>
        <w:ind w:firstLine="640" w:firstLineChars="200"/>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kern w:val="0"/>
          <w:sz w:val="32"/>
          <w:szCs w:val="32"/>
          <w:highlight w:val="none"/>
          <w:lang w:eastAsia="zh-CN"/>
          <w14:textFill>
            <w14:solidFill>
              <w14:schemeClr w14:val="tx1"/>
            </w14:solidFill>
          </w14:textFill>
        </w:rPr>
        <w:t>六</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、资格审查：竞买申请人按规定</w:t>
      </w:r>
      <w:r>
        <w:rPr>
          <w:rFonts w:hint="eastAsia" w:ascii="Times New Roman" w:hAnsi="Times New Roman" w:eastAsia="方正仿宋_GBK" w:cs="Times New Roman"/>
          <w:b/>
          <w:bCs/>
          <w:color w:val="000000" w:themeColor="text1"/>
          <w:kern w:val="0"/>
          <w:sz w:val="32"/>
          <w:szCs w:val="32"/>
          <w:highlight w:val="none"/>
          <w14:textFill>
            <w14:solidFill>
              <w14:schemeClr w14:val="tx1"/>
            </w14:solidFill>
          </w14:textFill>
        </w:rPr>
        <w:t>交纳保证金并在网上提交申请资料</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后，资阳市政府政务服务和公共资源交易服务中心将于</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202</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3</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年</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月</w:t>
      </w:r>
      <w:r>
        <w:rPr>
          <w:rFonts w:hint="eastAsia" w:ascii="Times New Roman" w:hAnsi="Times New Roman" w:eastAsia="方正仿宋_GBK" w:cs="Times New Roman"/>
          <w:color w:val="000000" w:themeColor="text1"/>
          <w:kern w:val="0"/>
          <w:sz w:val="32"/>
          <w:szCs w:val="32"/>
          <w:highlight w:val="none"/>
          <w:u w:val="single"/>
          <w:lang w:val="en-US" w:eastAsia="zh-CN"/>
          <w14:textFill>
            <w14:solidFill>
              <w14:schemeClr w14:val="tx1"/>
            </w14:solidFill>
          </w14:textFill>
        </w:rPr>
        <w:t xml:space="preserve"> 29</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日17 时00分</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前确认其竞买资格。</w:t>
      </w:r>
    </w:p>
    <w:p>
      <w:pPr>
        <w:spacing w:line="530" w:lineRule="exact"/>
        <w:ind w:firstLine="640" w:firstLineChars="200"/>
        <w:rPr>
          <w:rFonts w:ascii="Times New Roman" w:hAnsi="Times New Roman" w:eastAsia="方正仿宋简体" w:cs="Times New Roman"/>
          <w:sz w:val="32"/>
          <w:szCs w:val="32"/>
          <w:highlight w:val="none"/>
        </w:rPr>
      </w:pPr>
      <w:r>
        <w:rPr>
          <w:rFonts w:hint="eastAsia" w:ascii="Times New Roman" w:hAnsi="Times New Roman" w:eastAsia="方正仿宋_GBK" w:cs="Times New Roman"/>
          <w:sz w:val="32"/>
          <w:szCs w:val="32"/>
          <w:highlight w:val="none"/>
          <w:lang w:eastAsia="zh-CN"/>
        </w:rPr>
        <w:t>七</w:t>
      </w:r>
      <w:r>
        <w:rPr>
          <w:rFonts w:ascii="Times New Roman" w:hAnsi="Times New Roman" w:eastAsia="方正仿宋_GBK" w:cs="Times New Roman"/>
          <w:sz w:val="32"/>
          <w:szCs w:val="32"/>
          <w:highlight w:val="none"/>
        </w:rPr>
        <w:t>、</w:t>
      </w:r>
      <w:r>
        <w:rPr>
          <w:rFonts w:hint="eastAsia" w:ascii="Times New Roman" w:hAnsi="Times New Roman" w:eastAsia="方正仿宋_GBK"/>
          <w:bCs/>
          <w:kern w:val="0"/>
          <w:sz w:val="32"/>
          <w:szCs w:val="32"/>
          <w:highlight w:val="none"/>
        </w:rPr>
        <w:t>本次地表国有建设用地使用权拍卖会定于</w:t>
      </w:r>
      <w:r>
        <w:rPr>
          <w:rFonts w:hint="eastAsia" w:ascii="Times New Roman" w:hAnsi="Times New Roman" w:eastAsia="方正仿宋_GBK"/>
          <w:bCs/>
          <w:kern w:val="0"/>
          <w:sz w:val="32"/>
          <w:szCs w:val="32"/>
          <w:highlight w:val="none"/>
          <w:u w:val="single"/>
        </w:rPr>
        <w:t>202</w:t>
      </w:r>
      <w:r>
        <w:rPr>
          <w:rFonts w:hint="eastAsia" w:ascii="Times New Roman" w:hAnsi="Times New Roman" w:eastAsia="方正仿宋_GBK"/>
          <w:bCs/>
          <w:kern w:val="0"/>
          <w:sz w:val="32"/>
          <w:szCs w:val="32"/>
          <w:highlight w:val="none"/>
          <w:u w:val="single"/>
          <w:lang w:val="en-US" w:eastAsia="zh-CN"/>
        </w:rPr>
        <w:t>3</w:t>
      </w:r>
      <w:r>
        <w:rPr>
          <w:rFonts w:hint="eastAsia" w:ascii="Times New Roman" w:hAnsi="Times New Roman" w:eastAsia="方正仿宋_GBK"/>
          <w:bCs/>
          <w:kern w:val="0"/>
          <w:sz w:val="32"/>
          <w:szCs w:val="32"/>
          <w:highlight w:val="none"/>
          <w:u w:val="single"/>
        </w:rPr>
        <w:t>年</w:t>
      </w:r>
      <w:r>
        <w:rPr>
          <w:rFonts w:hint="eastAsia" w:ascii="Times New Roman" w:hAnsi="Times New Roman" w:eastAsia="方正仿宋_GBK"/>
          <w:bCs/>
          <w:kern w:val="0"/>
          <w:sz w:val="32"/>
          <w:szCs w:val="32"/>
          <w:highlight w:val="none"/>
          <w:u w:val="single"/>
          <w:lang w:val="en-US" w:eastAsia="zh-CN"/>
        </w:rPr>
        <w:t xml:space="preserve"> 5</w:t>
      </w:r>
      <w:r>
        <w:rPr>
          <w:rFonts w:hint="eastAsia" w:ascii="Times New Roman" w:hAnsi="Times New Roman" w:eastAsia="方正仿宋_GBK"/>
          <w:bCs/>
          <w:kern w:val="0"/>
          <w:sz w:val="32"/>
          <w:szCs w:val="32"/>
          <w:highlight w:val="none"/>
          <w:u w:val="single"/>
        </w:rPr>
        <w:t>月</w:t>
      </w:r>
      <w:r>
        <w:rPr>
          <w:rFonts w:hint="eastAsia" w:ascii="Times New Roman" w:hAnsi="Times New Roman" w:eastAsia="方正仿宋_GBK"/>
          <w:bCs/>
          <w:kern w:val="0"/>
          <w:sz w:val="32"/>
          <w:szCs w:val="32"/>
          <w:highlight w:val="none"/>
          <w:u w:val="single"/>
          <w:lang w:val="en-US" w:eastAsia="zh-CN"/>
        </w:rPr>
        <w:t>30</w:t>
      </w:r>
      <w:r>
        <w:rPr>
          <w:rFonts w:hint="eastAsia" w:ascii="Times New Roman" w:hAnsi="Times New Roman" w:eastAsia="方正仿宋_GBK"/>
          <w:bCs/>
          <w:kern w:val="0"/>
          <w:sz w:val="32"/>
          <w:szCs w:val="32"/>
          <w:highlight w:val="none"/>
          <w:u w:val="single"/>
        </w:rPr>
        <w:t>日</w:t>
      </w:r>
      <w:r>
        <w:rPr>
          <w:rFonts w:hint="eastAsia" w:ascii="Times New Roman" w:hAnsi="Times New Roman" w:eastAsia="方正仿宋_GBK"/>
          <w:bCs/>
          <w:kern w:val="0"/>
          <w:sz w:val="32"/>
          <w:szCs w:val="32"/>
          <w:highlight w:val="none"/>
          <w:u w:val="single"/>
          <w:lang w:val="en-US" w:eastAsia="zh-CN"/>
        </w:rPr>
        <w:t>14</w:t>
      </w:r>
      <w:r>
        <w:rPr>
          <w:rFonts w:hint="eastAsia" w:ascii="Times New Roman" w:hAnsi="Times New Roman" w:eastAsia="方正仿宋_GBK"/>
          <w:bCs/>
          <w:kern w:val="0"/>
          <w:sz w:val="32"/>
          <w:szCs w:val="32"/>
          <w:highlight w:val="none"/>
          <w:u w:val="single"/>
        </w:rPr>
        <w:t>时</w:t>
      </w:r>
      <w:r>
        <w:rPr>
          <w:rFonts w:hint="eastAsia" w:ascii="Times New Roman" w:hAnsi="Times New Roman" w:eastAsia="方正仿宋_GBK"/>
          <w:bCs/>
          <w:kern w:val="0"/>
          <w:sz w:val="32"/>
          <w:szCs w:val="32"/>
          <w:highlight w:val="none"/>
          <w:u w:val="single"/>
          <w:lang w:val="en-US" w:eastAsia="zh-CN"/>
        </w:rPr>
        <w:t>30</w:t>
      </w:r>
      <w:r>
        <w:rPr>
          <w:rFonts w:hint="eastAsia" w:ascii="Times New Roman" w:hAnsi="Times New Roman" w:eastAsia="方正仿宋_GBK"/>
          <w:bCs/>
          <w:kern w:val="0"/>
          <w:sz w:val="32"/>
          <w:szCs w:val="32"/>
          <w:highlight w:val="none"/>
          <w:u w:val="single"/>
        </w:rPr>
        <w:t>分</w:t>
      </w:r>
      <w:r>
        <w:rPr>
          <w:rFonts w:ascii="Times New Roman" w:hAnsi="Times New Roman" w:eastAsia="方正仿宋_GBK"/>
          <w:sz w:val="32"/>
          <w:szCs w:val="32"/>
          <w:highlight w:val="none"/>
        </w:rPr>
        <w:t>在</w:t>
      </w:r>
      <w:r>
        <w:rPr>
          <w:rFonts w:ascii="Times New Roman" w:hAnsi="Times New Roman" w:eastAsia="方正仿宋_GBK"/>
          <w:sz w:val="30"/>
          <w:szCs w:val="30"/>
          <w:highlight w:val="none"/>
        </w:rPr>
        <w:t>成都市公共资源交易服务中心（地址：成都市高新区天府大道北段966号天府国际金融中心7号楼）</w:t>
      </w:r>
      <w:r>
        <w:rPr>
          <w:rFonts w:ascii="Times New Roman" w:hAnsi="Times New Roman" w:eastAsia="方正仿宋_GBK"/>
          <w:sz w:val="32"/>
          <w:szCs w:val="32"/>
          <w:highlight w:val="none"/>
        </w:rPr>
        <w:t>举行</w:t>
      </w:r>
      <w:r>
        <w:rPr>
          <w:rFonts w:hint="eastAsia" w:ascii="Times New Roman" w:hAnsi="Times New Roman" w:eastAsia="方正仿宋_GBK"/>
          <w:sz w:val="32"/>
          <w:szCs w:val="32"/>
          <w:highlight w:val="none"/>
          <w:lang w:eastAsia="zh-CN"/>
        </w:rPr>
        <w:t>，</w:t>
      </w:r>
      <w:r>
        <w:rPr>
          <w:rFonts w:hint="eastAsia" w:ascii="Times New Roman" w:hAnsi="Times New Roman" w:eastAsia="方正仿宋_GBK"/>
          <w:b/>
          <w:bCs w:val="0"/>
          <w:kern w:val="0"/>
          <w:sz w:val="32"/>
          <w:szCs w:val="32"/>
          <w:highlight w:val="none"/>
          <w:lang w:eastAsia="zh-CN"/>
        </w:rPr>
        <w:t>请竞买人务必携带竞买申请书、公章及相关报名资料准时参加</w:t>
      </w:r>
      <w:r>
        <w:rPr>
          <w:rFonts w:hint="eastAsia" w:ascii="Times New Roman" w:hAnsi="Times New Roman" w:eastAsia="方正仿宋_GBK"/>
          <w:b w:val="0"/>
          <w:bCs/>
          <w:kern w:val="0"/>
          <w:sz w:val="32"/>
          <w:szCs w:val="32"/>
          <w:highlight w:val="none"/>
          <w:lang w:eastAsia="zh-CN"/>
        </w:rPr>
        <w:t>。</w:t>
      </w:r>
    </w:p>
    <w:p>
      <w:pPr>
        <w:widowControl/>
        <w:spacing w:line="530" w:lineRule="exact"/>
        <w:ind w:firstLine="640" w:firstLineChars="200"/>
        <w:rPr>
          <w:rFonts w:ascii="方正仿宋_GBK" w:hAnsi="Times New Roman" w:eastAsia="方正仿宋_GBK" w:cs="Times New Roman"/>
          <w:bCs/>
          <w:color w:val="000000"/>
          <w:kern w:val="0"/>
          <w:sz w:val="32"/>
          <w:szCs w:val="32"/>
          <w:highlight w:val="none"/>
        </w:rPr>
      </w:pPr>
      <w:r>
        <w:rPr>
          <w:rFonts w:hint="eastAsia" w:ascii="方正仿宋_GBK" w:hAnsi="Times New Roman" w:eastAsia="方正仿宋_GBK" w:cs="Times New Roman"/>
          <w:color w:val="000000"/>
          <w:kern w:val="0"/>
          <w:sz w:val="32"/>
          <w:szCs w:val="32"/>
          <w:highlight w:val="none"/>
          <w:lang w:eastAsia="zh-CN"/>
        </w:rPr>
        <w:t>八</w:t>
      </w:r>
      <w:r>
        <w:rPr>
          <w:rFonts w:hint="eastAsia" w:ascii="方正仿宋_GBK" w:hAnsi="Times New Roman" w:eastAsia="方正仿宋_GBK" w:cs="Times New Roman"/>
          <w:color w:val="000000"/>
          <w:kern w:val="0"/>
          <w:sz w:val="32"/>
          <w:szCs w:val="32"/>
          <w:highlight w:val="none"/>
        </w:rPr>
        <w:t>、</w:t>
      </w:r>
      <w:r>
        <w:rPr>
          <w:rFonts w:hint="eastAsia" w:ascii="方正仿宋_GBK" w:hAnsi="Times New Roman" w:eastAsia="方正仿宋_GBK" w:cs="Times New Roman"/>
          <w:bCs/>
          <w:color w:val="000000"/>
          <w:kern w:val="0"/>
          <w:sz w:val="32"/>
          <w:szCs w:val="32"/>
          <w:highlight w:val="none"/>
        </w:rPr>
        <w:t>其他事项</w:t>
      </w:r>
    </w:p>
    <w:p>
      <w:pPr>
        <w:widowControl/>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（一）本公告同期发布于全国公共资源交易平台（四川省·资阳市）</w:t>
      </w:r>
      <w:r>
        <w:rPr>
          <w:rFonts w:ascii="Times New Roman" w:hAnsi="Times New Roman" w:eastAsia="方正仿宋_GBK" w:cs="Times New Roman"/>
          <w:sz w:val="32"/>
          <w:szCs w:val="32"/>
          <w:highlight w:val="none"/>
        </w:rPr>
        <w:t>（http://ggzyjyzx.ziyang.gov.cn）</w:t>
      </w:r>
      <w:r>
        <w:rPr>
          <w:rFonts w:hint="eastAsia" w:ascii="Times New Roman" w:hAnsi="Times New Roman" w:eastAsia="方正仿宋_GBK" w:cs="Times New Roman"/>
          <w:sz w:val="32"/>
          <w:szCs w:val="32"/>
          <w:highlight w:val="none"/>
          <w:lang w:eastAsia="zh-CN"/>
        </w:rPr>
        <w:t>、</w:t>
      </w:r>
      <w:r>
        <w:rPr>
          <w:rFonts w:ascii="Times New Roman" w:hAnsi="Times New Roman" w:eastAsia="方正仿宋_GBK"/>
          <w:sz w:val="32"/>
          <w:szCs w:val="32"/>
          <w:highlight w:val="none"/>
        </w:rPr>
        <w:t>全国公共资源交易平台（四川省·</w:t>
      </w:r>
      <w:r>
        <w:rPr>
          <w:rFonts w:hint="eastAsia" w:ascii="Times New Roman" w:hAnsi="Times New Roman" w:eastAsia="方正仿宋_GBK"/>
          <w:sz w:val="32"/>
          <w:szCs w:val="32"/>
          <w:highlight w:val="none"/>
        </w:rPr>
        <w:t>成都</w:t>
      </w:r>
      <w:r>
        <w:rPr>
          <w:rFonts w:ascii="Times New Roman" w:hAnsi="Times New Roman" w:eastAsia="方正仿宋_GBK"/>
          <w:sz w:val="32"/>
          <w:szCs w:val="32"/>
          <w:highlight w:val="none"/>
        </w:rPr>
        <w:t>市）</w:t>
      </w:r>
      <w:r>
        <w:rPr>
          <w:rFonts w:ascii="Times New Roman" w:hAnsi="Times New Roman" w:eastAsia="方正仿宋_GBK"/>
          <w:bCs/>
          <w:sz w:val="32"/>
          <w:szCs w:val="32"/>
          <w:highlight w:val="none"/>
        </w:rPr>
        <w:t>网站</w:t>
      </w:r>
      <w:r>
        <w:rPr>
          <w:rFonts w:hint="eastAsia" w:ascii="Times New Roman" w:hAnsi="Times New Roman" w:eastAsia="方正仿宋_GBK"/>
          <w:bCs/>
          <w:sz w:val="32"/>
          <w:szCs w:val="32"/>
          <w:highlight w:val="none"/>
          <w:lang w:eastAsia="zh-CN"/>
        </w:rPr>
        <w:t>、</w:t>
      </w:r>
      <w:r>
        <w:rPr>
          <w:rFonts w:ascii="Times New Roman" w:hAnsi="Times New Roman" w:eastAsia="方正仿宋_GBK" w:cs="Times New Roman"/>
          <w:color w:val="000000"/>
          <w:sz w:val="32"/>
          <w:szCs w:val="32"/>
          <w:highlight w:val="none"/>
        </w:rPr>
        <w:t>资阳市自然资源和规划局</w:t>
      </w:r>
      <w:r>
        <w:rPr>
          <w:rFonts w:ascii="Times New Roman" w:hAnsi="Times New Roman" w:eastAsia="方正仿宋_GBK" w:cs="Times New Roman"/>
          <w:sz w:val="32"/>
          <w:szCs w:val="32"/>
          <w:highlight w:val="none"/>
        </w:rPr>
        <w:t>（http://szrzyj.ziyang.gov.cn/）</w:t>
      </w:r>
      <w:r>
        <w:rPr>
          <w:rFonts w:ascii="Times New Roman" w:hAnsi="Times New Roman" w:eastAsia="方正仿宋_GBK" w:cs="Times New Roman"/>
          <w:color w:val="000000"/>
          <w:sz w:val="32"/>
          <w:szCs w:val="32"/>
          <w:highlight w:val="none"/>
        </w:rPr>
        <w:t>、中国土地市场网等网站。</w:t>
      </w:r>
    </w:p>
    <w:p>
      <w:pPr>
        <w:widowControl/>
        <w:spacing w:line="530" w:lineRule="exact"/>
        <w:ind w:firstLine="640" w:firstLineChars="200"/>
        <w:rPr>
          <w:rFonts w:ascii="Times New Roman" w:hAnsi="Times New Roman" w:eastAsia="方正仿宋_GBK" w:cs="Times New Roman"/>
          <w:color w:val="000000"/>
          <w:spacing w:val="-8"/>
          <w:sz w:val="32"/>
          <w:szCs w:val="32"/>
          <w:highlight w:val="none"/>
        </w:rPr>
      </w:pPr>
      <w:r>
        <w:rPr>
          <w:rFonts w:ascii="Times New Roman" w:hAnsi="Times New Roman" w:eastAsia="方正仿宋_GBK" w:cs="Times New Roman"/>
          <w:color w:val="000000"/>
          <w:sz w:val="32"/>
          <w:szCs w:val="32"/>
          <w:highlight w:val="none"/>
        </w:rPr>
        <w:t>（二）</w:t>
      </w:r>
      <w:r>
        <w:rPr>
          <w:rFonts w:ascii="Times New Roman" w:hAnsi="Times New Roman" w:eastAsia="方正仿宋_GBK" w:cs="Times New Roman"/>
          <w:color w:val="000000"/>
          <w:spacing w:val="-8"/>
          <w:sz w:val="32"/>
          <w:szCs w:val="32"/>
          <w:highlight w:val="none"/>
        </w:rPr>
        <w:t>本公告发布后，可能出现延期、中止、终止等变更情况，为保障各竞买人顺利参加公共资源交易活动，合理进行竞买出行安排，敬请各竞买人在交易开始前随时关注查阅相关公告信息。</w:t>
      </w:r>
    </w:p>
    <w:p>
      <w:pPr>
        <w:spacing w:line="530" w:lineRule="exact"/>
        <w:ind w:firstLine="640" w:firstLineChars="200"/>
        <w:rPr>
          <w:rFonts w:ascii="方正仿宋_GBK" w:hAnsi="Times New Roman" w:eastAsia="方正仿宋_GBK" w:cs="Times New Roman"/>
          <w:bCs/>
          <w:color w:val="000000"/>
          <w:sz w:val="32"/>
          <w:szCs w:val="32"/>
          <w:highlight w:val="none"/>
        </w:rPr>
      </w:pPr>
      <w:r>
        <w:rPr>
          <w:rFonts w:hint="eastAsia" w:ascii="方正仿宋_GBK" w:hAnsi="Times New Roman" w:eastAsia="方正仿宋_GBK" w:cs="Times New Roman"/>
          <w:bCs/>
          <w:color w:val="000000"/>
          <w:sz w:val="32"/>
          <w:szCs w:val="32"/>
          <w:highlight w:val="none"/>
          <w:lang w:eastAsia="zh-CN"/>
        </w:rPr>
        <w:t>九</w:t>
      </w:r>
      <w:r>
        <w:rPr>
          <w:rFonts w:hint="eastAsia" w:ascii="方正仿宋_GBK" w:hAnsi="Times New Roman" w:eastAsia="方正仿宋_GBK" w:cs="Times New Roman"/>
          <w:bCs/>
          <w:color w:val="000000"/>
          <w:sz w:val="32"/>
          <w:szCs w:val="32"/>
          <w:highlight w:val="none"/>
        </w:rPr>
        <w:t>、联系方式</w:t>
      </w:r>
      <w:r>
        <w:rPr>
          <w:rFonts w:hint="eastAsia" w:ascii="方正仿宋_GBK" w:hAnsi="Times New Roman" w:eastAsia="方正仿宋_GBK" w:cs="Times New Roman"/>
          <w:sz w:val="32"/>
          <w:szCs w:val="32"/>
          <w:highlight w:val="none"/>
        </w:rPr>
        <w:t>及办理地点</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（一）资阳市政府政务服务和公共资源交易服务中心</w:t>
      </w:r>
      <w:r>
        <w:rPr>
          <w:rFonts w:ascii="Times New Roman" w:hAnsi="Times New Roman" w:eastAsia="方正仿宋_GBK" w:cs="Times New Roman"/>
          <w:color w:val="000000"/>
          <w:sz w:val="32"/>
          <w:szCs w:val="32"/>
          <w:highlight w:val="none"/>
        </w:rPr>
        <w:t>（资阳市雁江区河埝街12号2楼209房间）。</w:t>
      </w:r>
      <w:r>
        <w:rPr>
          <w:rFonts w:hint="eastAsia" w:ascii="Times New Roman" w:hAnsi="Times New Roman" w:eastAsia="方正仿宋_GBK" w:cs="Times New Roman"/>
          <w:color w:val="000000"/>
          <w:sz w:val="32"/>
          <w:szCs w:val="32"/>
          <w:highlight w:val="none"/>
        </w:rPr>
        <w:t>联系电话：028-26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p>
    <w:p>
      <w:pPr>
        <w:spacing w:line="530" w:lineRule="exact"/>
        <w:ind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（二）</w:t>
      </w:r>
      <w:r>
        <w:rPr>
          <w:rFonts w:hint="eastAsia" w:ascii="Times New Roman" w:hAnsi="Times New Roman" w:eastAsia="方正仿宋_GBK" w:cs="Times New Roman"/>
          <w:color w:val="000000"/>
          <w:sz w:val="32"/>
          <w:szCs w:val="32"/>
          <w:highlight w:val="none"/>
        </w:rPr>
        <w:t>出让地块详细情况咨询人：</w:t>
      </w:r>
      <w:r>
        <w:rPr>
          <w:rFonts w:hint="eastAsia" w:ascii="Times New Roman" w:hAnsi="Times New Roman" w:eastAsia="方正仿宋_GBK" w:cs="Times New Roman"/>
          <w:color w:val="000000"/>
          <w:sz w:val="32"/>
          <w:szCs w:val="32"/>
          <w:highlight w:val="none"/>
          <w:lang w:eastAsia="zh-CN"/>
        </w:rPr>
        <w:t>吴先生</w:t>
      </w:r>
      <w:r>
        <w:rPr>
          <w:rFonts w:hint="eastAsia" w:ascii="Times New Roman" w:hAnsi="Times New Roman" w:eastAsia="方正仿宋_GBK" w:cs="Times New Roman"/>
          <w:color w:val="000000"/>
          <w:sz w:val="32"/>
          <w:szCs w:val="32"/>
          <w:highlight w:val="none"/>
        </w:rPr>
        <w:t>；咨询电话：</w:t>
      </w:r>
    </w:p>
    <w:p>
      <w:pPr>
        <w:spacing w:line="530" w:lineRule="exact"/>
        <w:rPr>
          <w:rFonts w:hint="eastAsia" w:ascii="Times New Roman" w:hAnsi="Times New Roman" w:eastAsia="方正仿宋_GBK" w:cs="Times New Roman"/>
          <w:color w:val="000000"/>
          <w:sz w:val="32"/>
          <w:szCs w:val="32"/>
          <w:highlight w:val="none"/>
        </w:rPr>
      </w:pPr>
      <w:r>
        <w:rPr>
          <w:rFonts w:hint="eastAsia" w:ascii="Times New Roman" w:hAnsi="Times New Roman" w:eastAsia="方正仿宋_GBK" w:cs="Times New Roman"/>
          <w:color w:val="000000"/>
          <w:sz w:val="32"/>
          <w:szCs w:val="32"/>
          <w:highlight w:val="none"/>
        </w:rPr>
        <w:t>13982969120。</w:t>
      </w:r>
    </w:p>
    <w:p>
      <w:pPr>
        <w:pStyle w:val="2"/>
        <w:rPr>
          <w:highlight w:val="none"/>
        </w:rPr>
      </w:pPr>
    </w:p>
    <w:p>
      <w:pPr>
        <w:pStyle w:val="4"/>
        <w:rPr>
          <w:highlight w:val="none"/>
        </w:rPr>
      </w:pPr>
    </w:p>
    <w:p>
      <w:pPr>
        <w:pStyle w:val="5"/>
        <w:rPr>
          <w:highlight w:val="none"/>
        </w:rPr>
      </w:pPr>
    </w:p>
    <w:p>
      <w:pPr>
        <w:pStyle w:val="5"/>
        <w:rPr>
          <w:highlight w:val="none"/>
        </w:rPr>
      </w:pPr>
    </w:p>
    <w:p>
      <w:pPr>
        <w:pStyle w:val="5"/>
        <w:rPr>
          <w:highlight w:val="none"/>
        </w:rPr>
      </w:pPr>
    </w:p>
    <w:p>
      <w:pPr>
        <w:spacing w:line="530" w:lineRule="exact"/>
        <w:jc w:val="right"/>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color w:val="000000"/>
          <w:sz w:val="32"/>
          <w:szCs w:val="32"/>
          <w:highlight w:val="none"/>
        </w:rPr>
        <w:t>资阳市政府政务服务和公共资源交易服务中心</w:t>
      </w:r>
      <w:r>
        <w:rPr>
          <w:rFonts w:hint="eastAsia" w:ascii="Times New Roman" w:hAnsi="Times New Roman" w:eastAsia="方正仿宋_GBK" w:cs="Times New Roman"/>
          <w:color w:val="000000"/>
          <w:sz w:val="32"/>
          <w:szCs w:val="32"/>
          <w:highlight w:val="none"/>
        </w:rPr>
        <w:t xml:space="preserve">  </w:t>
      </w:r>
    </w:p>
    <w:p>
      <w:pPr>
        <w:ind w:firstLine="5120" w:firstLineChars="1600"/>
        <w:rPr>
          <w:highlight w:val="none"/>
        </w:rPr>
      </w:pPr>
      <w:r>
        <w:rPr>
          <w:rFonts w:ascii="Times New Roman" w:hAnsi="Times New Roman" w:eastAsia="方正仿宋_GBK" w:cs="Times New Roman"/>
          <w:color w:val="000000"/>
          <w:sz w:val="32"/>
          <w:szCs w:val="32"/>
          <w:highlight w:val="none"/>
        </w:rPr>
        <w:t>202</w:t>
      </w:r>
      <w:r>
        <w:rPr>
          <w:rFonts w:hint="eastAsia" w:ascii="Times New Roman" w:hAnsi="Times New Roman" w:eastAsia="方正仿宋_GBK" w:cs="Times New Roman"/>
          <w:color w:val="000000"/>
          <w:sz w:val="32"/>
          <w:szCs w:val="32"/>
          <w:highlight w:val="none"/>
          <w:lang w:val="en-US" w:eastAsia="zh-CN"/>
        </w:rPr>
        <w:t>3</w:t>
      </w:r>
      <w:r>
        <w:rPr>
          <w:rFonts w:ascii="Times New Roman" w:hAnsi="Times New Roman" w:eastAsia="方正仿宋_GBK" w:cs="Times New Roman"/>
          <w:color w:val="000000"/>
          <w:sz w:val="32"/>
          <w:szCs w:val="32"/>
          <w:highlight w:val="none"/>
        </w:rPr>
        <w:t>年</w:t>
      </w:r>
      <w:r>
        <w:rPr>
          <w:rFonts w:hint="eastAsia" w:ascii="Times New Roman" w:hAnsi="Times New Roman" w:eastAsia="方正仿宋_GBK" w:cs="Times New Roman"/>
          <w:color w:val="000000"/>
          <w:sz w:val="32"/>
          <w:szCs w:val="32"/>
          <w:highlight w:val="none"/>
          <w:lang w:val="en-US" w:eastAsia="zh-CN"/>
        </w:rPr>
        <w:t>5月9</w:t>
      </w:r>
      <w:r>
        <w:rPr>
          <w:rFonts w:ascii="Times New Roman" w:hAnsi="Times New Roman" w:eastAsia="方正仿宋_GBK" w:cs="Times New Roman"/>
          <w:color w:val="000000"/>
          <w:sz w:val="32"/>
          <w:szCs w:val="32"/>
          <w:highlight w:val="none"/>
        </w:rPr>
        <w:t>日</w:t>
      </w:r>
      <w:r>
        <w:rPr>
          <w:rFonts w:hint="eastAsia" w:ascii="Times New Roman" w:hAnsi="Times New Roman" w:eastAsia="方正仿宋_GBK" w:cs="Times New Roman"/>
          <w:color w:val="000000"/>
          <w:sz w:val="32"/>
          <w:szCs w:val="32"/>
          <w:highlight w:val="none"/>
        </w:rPr>
        <w:t xml:space="preserve">      </w:t>
      </w:r>
    </w:p>
    <w:p>
      <w:pPr>
        <w:spacing w:line="590" w:lineRule="exact"/>
        <w:jc w:val="center"/>
        <w:rPr>
          <w:rFonts w:ascii="方正小标宋_GBK" w:hAnsi="微软雅黑" w:eastAsia="方正小标宋_GBK" w:cs="微软雅黑"/>
          <w:color w:val="000000" w:themeColor="text1"/>
          <w:sz w:val="44"/>
          <w:szCs w:val="44"/>
          <w:highlight w:val="none"/>
          <w14:textFill>
            <w14:solidFill>
              <w14:schemeClr w14:val="tx1"/>
            </w14:solidFill>
          </w14:textFill>
        </w:rPr>
      </w:pPr>
      <w:r>
        <w:rPr>
          <w:rFonts w:ascii="Times New Roman" w:hAnsi="Times New Roman" w:eastAsia="方正仿宋_GBK" w:cs="Times New Roman"/>
          <w:color w:val="FF0000"/>
          <w:sz w:val="32"/>
          <w:szCs w:val="32"/>
          <w:highlight w:val="none"/>
        </w:rPr>
        <w:br w:type="page"/>
      </w:r>
      <w:r>
        <w:rPr>
          <w:rFonts w:hint="eastAsia" w:ascii="方正小标宋_GBK" w:hAnsi="微软雅黑" w:eastAsia="方正小标宋_GBK" w:cs="微软雅黑"/>
          <w:color w:val="000000" w:themeColor="text1"/>
          <w:sz w:val="44"/>
          <w:szCs w:val="44"/>
          <w:highlight w:val="none"/>
          <w14:textFill>
            <w14:solidFill>
              <w14:schemeClr w14:val="tx1"/>
            </w14:solidFill>
          </w14:textFill>
        </w:rPr>
        <w:t>国有建设用地使用权拍卖出让须知</w:t>
      </w:r>
    </w:p>
    <w:p>
      <w:pPr>
        <w:spacing w:after="120"/>
        <w:ind w:firstLine="320" w:firstLineChars="100"/>
        <w:rPr>
          <w:rFonts w:ascii="Times New Roman" w:hAnsi="Times New Roman" w:eastAsia="仿宋_GB2312" w:cs="Times New Roman"/>
          <w:color w:val="000000" w:themeColor="text1"/>
          <w:sz w:val="32"/>
          <w:highlight w:val="none"/>
          <w14:textFill>
            <w14:solidFill>
              <w14:schemeClr w14:val="tx1"/>
            </w14:solidFill>
          </w14:textFill>
        </w:rPr>
      </w:pPr>
    </w:p>
    <w:p>
      <w:pPr>
        <w:spacing w:line="600" w:lineRule="exact"/>
        <w:ind w:firstLine="640" w:firstLineChars="200"/>
        <w:jc w:val="left"/>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根据《中华人民共和国土地管理法》《中华人民共和国城市房地产管理法》《中华人民共和国城镇国有建设用地使用权出让和转让暂行条例》《招标拍卖挂牌出让国有建设用地使用权规定》</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（原国土资源部令第39号）</w:t>
      </w:r>
      <w:r>
        <w:rPr>
          <w:rFonts w:ascii="Times New Roman" w:hAnsi="Times New Roman" w:eastAsia="方正仿宋_GBK" w:cs="Times New Roman"/>
          <w:color w:val="000000" w:themeColor="text1"/>
          <w:sz w:val="32"/>
          <w:szCs w:val="32"/>
          <w:highlight w:val="none"/>
          <w14:textFill>
            <w14:solidFill>
              <w14:schemeClr w14:val="tx1"/>
            </w14:solidFill>
          </w14:textFill>
        </w:rPr>
        <w:t>等有关规定，经</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w:t>
      </w:r>
      <w:r>
        <w:rPr>
          <w:rFonts w:ascii="Times New Roman" w:hAnsi="Times New Roman" w:eastAsia="方正仿宋_GBK" w:cs="Times New Roman"/>
          <w:color w:val="000000" w:themeColor="text1"/>
          <w:sz w:val="32"/>
          <w:szCs w:val="32"/>
          <w:highlight w:val="none"/>
          <w14:textFill>
            <w14:solidFill>
              <w14:schemeClr w14:val="tx1"/>
            </w14:solidFill>
          </w14:textFill>
        </w:rPr>
        <w:t>人民政府批准，受</w:t>
      </w:r>
      <w:r>
        <w:rPr>
          <w:rFonts w:hint="eastAsia" w:ascii="Times New Roman" w:hAnsi="Times New Roman" w:eastAsia="方正仿宋_GBK" w:cs="Times New Roman"/>
          <w:sz w:val="32"/>
          <w:szCs w:val="32"/>
          <w:highlight w:val="none"/>
          <w:u w:val="single"/>
        </w:rPr>
        <w:t>资阳市临空经济区管理委员会</w:t>
      </w:r>
      <w:r>
        <w:rPr>
          <w:rFonts w:ascii="Times New Roman" w:hAnsi="Times New Roman" w:eastAsia="方正仿宋_GBK" w:cs="Times New Roman"/>
          <w:color w:val="000000" w:themeColor="text1"/>
          <w:sz w:val="32"/>
          <w:szCs w:val="32"/>
          <w:highlight w:val="none"/>
          <w14:textFill>
            <w14:solidFill>
              <w14:schemeClr w14:val="tx1"/>
            </w14:solidFill>
          </w14:textFill>
        </w:rPr>
        <w:t>委托，</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以</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拍卖</w:t>
      </w:r>
      <w:r>
        <w:rPr>
          <w:rFonts w:ascii="Times New Roman" w:hAnsi="Times New Roman" w:eastAsia="方正仿宋_GBK" w:cs="Times New Roman"/>
          <w:color w:val="000000" w:themeColor="text1"/>
          <w:sz w:val="32"/>
          <w:szCs w:val="32"/>
          <w:highlight w:val="none"/>
          <w14:textFill>
            <w14:solidFill>
              <w14:schemeClr w14:val="tx1"/>
            </w14:solidFill>
          </w14:textFill>
        </w:rPr>
        <w:t>方式出让</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资阳临空经济区清泉先进制造研发组团，成资大道以南，</w:t>
      </w:r>
      <w:r>
        <w:rPr>
          <w:rFonts w:hint="eastAsia"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清泉</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7号路</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以</w:t>
      </w:r>
      <w:r>
        <w:rPr>
          <w:rFonts w:hint="eastAsia"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东</w:t>
      </w:r>
      <w:r>
        <w:rPr>
          <w:rFonts w:ascii="Times New Roman" w:hAnsi="Times New Roman" w:eastAsia="方正仿宋_GBK" w:cs="Times New Roman"/>
          <w:color w:val="000000" w:themeColor="text1"/>
          <w:sz w:val="32"/>
          <w:szCs w:val="32"/>
          <w:highlight w:val="none"/>
          <w14:textFill>
            <w14:solidFill>
              <w14:schemeClr w14:val="tx1"/>
            </w14:solidFill>
          </w14:textFill>
        </w:rPr>
        <w:t>一宗地表国有建设用地使用权（以下简称“该地块”）。</w:t>
      </w:r>
    </w:p>
    <w:p>
      <w:pPr>
        <w:spacing w:line="600" w:lineRule="exact"/>
        <w:ind w:firstLine="640" w:firstLineChars="200"/>
        <w:jc w:val="left"/>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一、</w:t>
      </w:r>
      <w:r>
        <w:rPr>
          <w:rFonts w:ascii="Times New Roman" w:hAnsi="Times New Roman" w:eastAsia="方正仿宋_GBK" w:cs="Times New Roman"/>
          <w:b/>
          <w:sz w:val="32"/>
          <w:szCs w:val="32"/>
          <w:highlight w:val="none"/>
        </w:rPr>
        <w:t>本次国有建设用地使用权的出让人为</w:t>
      </w:r>
      <w:r>
        <w:rPr>
          <w:rFonts w:hint="eastAsia" w:ascii="Times New Roman" w:hAnsi="Times New Roman" w:eastAsia="方正仿宋_GBK" w:cs="Times New Roman"/>
          <w:b/>
          <w:sz w:val="32"/>
          <w:szCs w:val="32"/>
          <w:highlight w:val="none"/>
          <w:u w:val="single"/>
        </w:rPr>
        <w:t>资阳市临空经济区管理委员会</w:t>
      </w:r>
      <w:r>
        <w:rPr>
          <w:rFonts w:ascii="Times New Roman" w:hAnsi="Times New Roman" w:eastAsia="方正仿宋_GBK" w:cs="Times New Roman"/>
          <w:b/>
          <w:sz w:val="32"/>
          <w:szCs w:val="32"/>
          <w:highlight w:val="none"/>
        </w:rPr>
        <w:t>，具体组织实施由</w:t>
      </w:r>
      <w:r>
        <w:rPr>
          <w:rFonts w:hint="eastAsia" w:ascii="Times New Roman" w:hAnsi="Times New Roman" w:eastAsia="方正仿宋_GBK" w:cs="Times New Roman"/>
          <w:b/>
          <w:sz w:val="32"/>
          <w:szCs w:val="32"/>
          <w:highlight w:val="none"/>
          <w:u w:val="single"/>
        </w:rPr>
        <w:t>资阳市临空经济区管理委员会</w:t>
      </w:r>
      <w:r>
        <w:rPr>
          <w:rFonts w:ascii="Times New Roman" w:hAnsi="Times New Roman" w:eastAsia="方正仿宋_GBK" w:cs="Times New Roman"/>
          <w:b/>
          <w:sz w:val="32"/>
          <w:szCs w:val="32"/>
          <w:highlight w:val="none"/>
        </w:rPr>
        <w:t>授权委托</w:t>
      </w:r>
      <w:r>
        <w:rPr>
          <w:rFonts w:ascii="Times New Roman" w:hAnsi="Times New Roman" w:eastAsia="方正仿宋_GBK" w:cs="Times New Roman"/>
          <w:b/>
          <w:color w:val="000000" w:themeColor="text1"/>
          <w:sz w:val="32"/>
          <w:szCs w:val="32"/>
          <w:highlight w:val="none"/>
          <w:u w:val="single"/>
          <w14:textFill>
            <w14:solidFill>
              <w14:schemeClr w14:val="tx1"/>
            </w14:solidFill>
          </w14:textFill>
        </w:rPr>
        <w:t>资阳市政府政务服务和公共资源交易服务中心承办</w:t>
      </w:r>
      <w:r>
        <w:rPr>
          <w:rFonts w:ascii="Times New Roman" w:hAnsi="Times New Roman" w:eastAsia="方正仿宋_GBK" w:cs="Times New Roman"/>
          <w:b/>
          <w:sz w:val="32"/>
          <w:szCs w:val="32"/>
          <w:highlight w:val="none"/>
        </w:rPr>
        <w:t>，联系地址：</w:t>
      </w:r>
      <w:r>
        <w:rPr>
          <w:rFonts w:ascii="Times New Roman" w:hAnsi="Times New Roman" w:eastAsia="方正仿宋_GBK" w:cs="Times New Roman"/>
          <w:b/>
          <w:color w:val="000000" w:themeColor="text1"/>
          <w:sz w:val="32"/>
          <w:szCs w:val="32"/>
          <w:highlight w:val="none"/>
          <w14:textFill>
            <w14:solidFill>
              <w14:schemeClr w14:val="tx1"/>
            </w14:solidFill>
          </w14:textFill>
        </w:rPr>
        <w:t>资阳市雁江区河埝街12号2楼209房间；</w:t>
      </w:r>
      <w:r>
        <w:rPr>
          <w:rFonts w:ascii="Times New Roman" w:hAnsi="Times New Roman" w:eastAsia="方正仿宋_GBK" w:cs="Times New Roman"/>
          <w:b/>
          <w:sz w:val="32"/>
          <w:szCs w:val="32"/>
          <w:highlight w:val="none"/>
        </w:rPr>
        <w:t>联系电话：</w:t>
      </w:r>
      <w:r>
        <w:rPr>
          <w:rFonts w:hint="eastAsia" w:ascii="Times New Roman" w:hAnsi="Times New Roman" w:eastAsia="方正仿宋_GBK" w:cs="Times New Roman"/>
          <w:color w:val="000000"/>
          <w:sz w:val="32"/>
          <w:szCs w:val="32"/>
          <w:highlight w:val="none"/>
        </w:rPr>
        <w:t>028-26</w:t>
      </w:r>
      <w:r>
        <w:rPr>
          <w:rFonts w:hint="eastAsia" w:ascii="Times New Roman" w:hAnsi="Times New Roman" w:eastAsia="方正仿宋_GBK" w:cs="Times New Roman"/>
          <w:color w:val="000000"/>
          <w:sz w:val="32"/>
          <w:szCs w:val="32"/>
          <w:highlight w:val="none"/>
          <w:lang w:val="en-US" w:eastAsia="zh-CN"/>
        </w:rPr>
        <w:t>6</w:t>
      </w:r>
      <w:r>
        <w:rPr>
          <w:rFonts w:hint="eastAsia" w:ascii="Times New Roman" w:hAnsi="Times New Roman" w:eastAsia="方正仿宋_GBK" w:cs="Times New Roman"/>
          <w:color w:val="000000"/>
          <w:sz w:val="32"/>
          <w:szCs w:val="32"/>
          <w:highlight w:val="none"/>
        </w:rPr>
        <w:t>13787</w:t>
      </w:r>
      <w:r>
        <w:rPr>
          <w:rFonts w:ascii="Times New Roman" w:hAnsi="Times New Roman" w:eastAsia="方正仿宋_GBK" w:cs="Times New Roman"/>
          <w:b/>
          <w:sz w:val="32"/>
          <w:szCs w:val="32"/>
          <w:highlight w:val="none"/>
        </w:rPr>
        <w:t>。</w:t>
      </w:r>
    </w:p>
    <w:p>
      <w:pPr>
        <w:spacing w:line="600" w:lineRule="exact"/>
        <w:ind w:firstLine="640" w:firstLineChars="200"/>
        <w:rPr>
          <w:rFonts w:ascii="Times New Roman" w:hAnsi="Times New Roman" w:eastAsia="方正仿宋_GBK" w:cs="Times New Roman"/>
          <w:b/>
          <w:sz w:val="32"/>
          <w:szCs w:val="32"/>
          <w:highlight w:val="none"/>
        </w:rPr>
      </w:pPr>
      <w:r>
        <w:rPr>
          <w:rFonts w:hint="eastAsia" w:ascii="方正黑体_GBK" w:hAnsi="Times New Roman" w:eastAsia="方正黑体_GBK" w:cs="Times New Roman"/>
          <w:sz w:val="32"/>
          <w:szCs w:val="32"/>
          <w:highlight w:val="none"/>
        </w:rPr>
        <w:t>二、</w:t>
      </w:r>
      <w:r>
        <w:rPr>
          <w:rFonts w:ascii="Times New Roman" w:hAnsi="Times New Roman" w:eastAsia="方正仿宋_GBK" w:cs="Times New Roman"/>
          <w:b/>
          <w:sz w:val="32"/>
          <w:szCs w:val="32"/>
          <w:highlight w:val="none"/>
        </w:rPr>
        <w:t>本次国有建设用地使用权</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出让遵循公开、公平、公正和诚实信用的原则。竞买人须认真阅读本《须知》的所有条款，并严格按照本《须知》的要求参加本次</w:t>
      </w:r>
      <w:r>
        <w:rPr>
          <w:rFonts w:hint="eastAsia" w:ascii="Times New Roman" w:hAnsi="Times New Roman" w:eastAsia="方正仿宋_GBK" w:cs="Times New Roman"/>
          <w:b/>
          <w:sz w:val="32"/>
          <w:szCs w:val="32"/>
          <w:highlight w:val="none"/>
        </w:rPr>
        <w:t>拍卖</w:t>
      </w:r>
      <w:r>
        <w:rPr>
          <w:rFonts w:ascii="Times New Roman" w:hAnsi="Times New Roman" w:eastAsia="方正仿宋_GBK" w:cs="Times New Roman"/>
          <w:b/>
          <w:sz w:val="32"/>
          <w:szCs w:val="32"/>
          <w:highlight w:val="none"/>
        </w:rPr>
        <w:t>出让活动，并承担相应的法律责任。</w:t>
      </w:r>
    </w:p>
    <w:p>
      <w:pPr>
        <w:spacing w:line="600" w:lineRule="exact"/>
        <w:ind w:firstLine="642" w:firstLineChars="200"/>
        <w:jc w:val="both"/>
        <w:rPr>
          <w:rFonts w:ascii="Times New Roman" w:hAnsi="Times New Roman" w:eastAsia="方正黑体_GBK" w:cs="Times New Roman"/>
          <w:b/>
          <w:bCs/>
          <w:color w:val="000000" w:themeColor="text1"/>
          <w:sz w:val="32"/>
          <w:szCs w:val="32"/>
          <w:highlight w:val="none"/>
          <w14:textFill>
            <w14:solidFill>
              <w14:schemeClr w14:val="tx1"/>
            </w14:solidFill>
          </w14:textFill>
        </w:rPr>
      </w:pPr>
    </w:p>
    <w:p>
      <w:pPr>
        <w:spacing w:line="600" w:lineRule="exact"/>
        <w:ind w:firstLine="642" w:firstLineChars="200"/>
        <w:jc w:val="both"/>
        <w:rPr>
          <w:rFonts w:ascii="Times New Roman" w:hAnsi="Times New Roman" w:eastAsia="方正黑体_GBK" w:cs="Times New Roman"/>
          <w:b/>
          <w:bCs/>
          <w:color w:val="000000" w:themeColor="text1"/>
          <w:sz w:val="32"/>
          <w:szCs w:val="32"/>
          <w:highlight w:val="none"/>
          <w14:textFill>
            <w14:solidFill>
              <w14:schemeClr w14:val="tx1"/>
            </w14:solidFill>
          </w14:textFill>
        </w:rPr>
      </w:pPr>
    </w:p>
    <w:p>
      <w:pPr>
        <w:numPr>
          <w:ilvl w:val="0"/>
          <w:numId w:val="1"/>
        </w:numPr>
        <w:spacing w:line="600" w:lineRule="exact"/>
        <w:ind w:firstLine="642" w:firstLineChars="200"/>
        <w:jc w:val="both"/>
        <w:rPr>
          <w:rFonts w:hint="eastAsia" w:ascii="Times New Roman" w:hAnsi="Times New Roman" w:eastAsia="方正黑体_GBK" w:cs="Times New Roman"/>
          <w:b/>
          <w:bCs/>
          <w:sz w:val="32"/>
          <w:szCs w:val="32"/>
          <w:highlight w:val="none"/>
        </w:rPr>
      </w:pPr>
      <w:r>
        <w:rPr>
          <w:rFonts w:hint="eastAsia" w:ascii="Times New Roman" w:hAnsi="Times New Roman" w:eastAsia="方正黑体_GBK" w:cs="Times New Roman"/>
          <w:b/>
          <w:bCs/>
          <w:sz w:val="32"/>
          <w:szCs w:val="32"/>
          <w:highlight w:val="none"/>
        </w:rPr>
        <w:t>LKYD—2022—0</w:t>
      </w:r>
      <w:r>
        <w:rPr>
          <w:rFonts w:hint="eastAsia" w:ascii="Times New Roman" w:hAnsi="Times New Roman" w:eastAsia="方正黑体_GBK" w:cs="Times New Roman"/>
          <w:b/>
          <w:bCs/>
          <w:sz w:val="32"/>
          <w:szCs w:val="32"/>
          <w:highlight w:val="none"/>
          <w:lang w:val="en-US" w:eastAsia="zh-CN"/>
        </w:rPr>
        <w:t>31</w:t>
      </w:r>
      <w:r>
        <w:rPr>
          <w:rFonts w:hint="eastAsia" w:ascii="Times New Roman" w:hAnsi="Times New Roman" w:eastAsia="方正黑体_GBK" w:cs="Times New Roman"/>
          <w:b/>
          <w:bCs/>
          <w:sz w:val="32"/>
          <w:szCs w:val="32"/>
          <w:highlight w:val="none"/>
        </w:rPr>
        <w:t>号地块国有建设用地使用权拍卖出让方案</w:t>
      </w:r>
    </w:p>
    <w:p>
      <w:pPr>
        <w:pStyle w:val="2"/>
        <w:numPr>
          <w:ilvl w:val="0"/>
          <w:numId w:val="0"/>
        </w:numPr>
        <w:rPr>
          <w:rFonts w:hint="default" w:eastAsiaTheme="minorEastAsia"/>
          <w:highlight w:val="none"/>
          <w:lang w:val="en-US" w:eastAsia="zh-CN"/>
        </w:rPr>
      </w:pPr>
      <w:r>
        <w:rPr>
          <w:rFonts w:hint="eastAsia"/>
          <w:highlight w:val="none"/>
          <w:lang w:val="en-US" w:eastAsia="zh-CN"/>
        </w:rPr>
        <w:t xml:space="preserve">      </w:t>
      </w:r>
    </w:p>
    <w:tbl>
      <w:tblPr>
        <w:tblStyle w:val="13"/>
        <w:tblW w:w="8834"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1416"/>
        <w:gridCol w:w="1395"/>
        <w:gridCol w:w="602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59"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cs="方正仿宋_GBK"/>
                <w:sz w:val="24"/>
                <w:highlight w:val="none"/>
              </w:rPr>
            </w:pPr>
            <w:r>
              <w:rPr>
                <w:rFonts w:hint="eastAsia" w:ascii="Calibri" w:hAnsi="Calibri" w:eastAsia="方正仿宋简体" w:cs="方正仿宋_GBK"/>
                <w:sz w:val="24"/>
                <w:highlight w:val="none"/>
              </w:rPr>
              <w:t>出让人</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sz w:val="24"/>
                <w:highlight w:val="none"/>
              </w:rPr>
            </w:pPr>
            <w:r>
              <w:rPr>
                <w:rFonts w:hint="eastAsia" w:eastAsia="方正仿宋简体"/>
                <w:color w:val="000000"/>
                <w:sz w:val="24"/>
                <w:highlight w:val="none"/>
              </w:rPr>
              <w:t>资阳市</w:t>
            </w:r>
            <w:r>
              <w:rPr>
                <w:rFonts w:eastAsia="方正仿宋简体"/>
                <w:color w:val="000000"/>
                <w:sz w:val="24"/>
                <w:highlight w:val="none"/>
              </w:rPr>
              <w:t>临空经济区管理委员会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1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cs="方正仿宋_GBK"/>
                <w:sz w:val="24"/>
                <w:highlight w:val="none"/>
              </w:rPr>
            </w:pPr>
            <w:r>
              <w:rPr>
                <w:rFonts w:hint="eastAsia" w:ascii="Calibri" w:hAnsi="Calibri" w:eastAsia="方正仿宋简体" w:cs="方正仿宋_GBK"/>
                <w:sz w:val="24"/>
                <w:highlight w:val="none"/>
              </w:rPr>
              <w:t>土地座落</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hint="eastAsia" w:eastAsia="方正仿宋_GBK"/>
                <w:color w:val="000000"/>
                <w:sz w:val="24"/>
                <w:highlight w:val="none"/>
              </w:rPr>
            </w:pPr>
            <w:r>
              <w:rPr>
                <w:rFonts w:eastAsia="方正仿宋简体"/>
                <w:color w:val="000000"/>
                <w:sz w:val="24"/>
                <w:highlight w:val="none"/>
              </w:rPr>
              <w:t>资阳临空经济区清泉先进制造研发组团，成资大道以南，清泉7号路以东</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3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sz w:val="24"/>
                <w:highlight w:val="none"/>
              </w:rPr>
            </w:pPr>
            <w:r>
              <w:rPr>
                <w:rFonts w:hint="eastAsia" w:ascii="Calibri" w:hAnsi="Calibri" w:eastAsia="方正仿宋简体"/>
                <w:sz w:val="24"/>
                <w:highlight w:val="none"/>
              </w:rPr>
              <w:t>出让界址及空间范围</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sz w:val="24"/>
                <w:highlight w:val="none"/>
              </w:rPr>
            </w:pPr>
            <w:r>
              <w:rPr>
                <w:rFonts w:hint="eastAsia" w:eastAsia="方正仿宋简体"/>
                <w:color w:val="000000"/>
                <w:sz w:val="24"/>
                <w:highlight w:val="none"/>
              </w:rPr>
              <w:t>宗地四至界线以勘测定界图为准，竖向界限应结合宗地周边路网高程在审查建筑方案时另行确定。出让的空间范围为地表国有建设用地使用权</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03"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sz w:val="24"/>
                <w:highlight w:val="none"/>
              </w:rPr>
            </w:pPr>
            <w:r>
              <w:rPr>
                <w:rFonts w:hint="eastAsia" w:ascii="Calibri" w:hAnsi="Calibri" w:eastAsia="方正仿宋简体"/>
                <w:sz w:val="24"/>
                <w:highlight w:val="none"/>
              </w:rPr>
              <w:t>土地用途</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sz w:val="24"/>
                <w:highlight w:val="none"/>
              </w:rPr>
            </w:pPr>
            <w:r>
              <w:rPr>
                <w:rFonts w:hint="eastAsia" w:eastAsia="方正仿宋简体"/>
                <w:color w:val="000000"/>
                <w:sz w:val="24"/>
                <w:highlight w:val="none"/>
              </w:rPr>
              <w:t>城镇住宅用地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2"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r>
              <w:rPr>
                <w:rFonts w:hint="eastAsia" w:ascii="Calibri" w:hAnsi="Calibri" w:eastAsia="方正仿宋简体"/>
                <w:kern w:val="0"/>
                <w:sz w:val="24"/>
                <w:highlight w:val="none"/>
              </w:rPr>
              <w:t>出让年限</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sz w:val="24"/>
                <w:highlight w:val="none"/>
              </w:rPr>
            </w:pPr>
            <w:r>
              <w:rPr>
                <w:rFonts w:hint="eastAsia" w:eastAsia="方正仿宋简体"/>
                <w:color w:val="000000"/>
                <w:sz w:val="24"/>
                <w:highlight w:val="none"/>
              </w:rPr>
              <w:t>7</w:t>
            </w:r>
            <w:r>
              <w:rPr>
                <w:rFonts w:eastAsia="方正仿宋简体"/>
                <w:color w:val="000000"/>
                <w:sz w:val="24"/>
                <w:highlight w:val="none"/>
              </w:rPr>
              <w:t>0年</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1"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ind w:firstLine="240" w:firstLineChars="100"/>
              <w:rPr>
                <w:rFonts w:eastAsia="方正仿宋_GBK"/>
                <w:color w:val="000000"/>
                <w:sz w:val="24"/>
                <w:highlight w:val="none"/>
              </w:rPr>
            </w:pPr>
            <w:r>
              <w:rPr>
                <w:rFonts w:hint="eastAsia" w:eastAsia="方正仿宋简体"/>
                <w:color w:val="000000"/>
                <w:sz w:val="24"/>
                <w:highlight w:val="none"/>
              </w:rPr>
              <w:t>出让面积</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sz w:val="24"/>
                <w:highlight w:val="none"/>
              </w:rPr>
            </w:pPr>
            <w:r>
              <w:rPr>
                <w:rFonts w:hint="eastAsia" w:eastAsia="方正仿宋简体"/>
                <w:color w:val="000000"/>
                <w:sz w:val="24"/>
                <w:highlight w:val="none"/>
              </w:rPr>
              <w:t>84783.87平方米（127.18亩）</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5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sz w:val="24"/>
                <w:highlight w:val="none"/>
              </w:rPr>
            </w:pPr>
            <w:r>
              <w:rPr>
                <w:rFonts w:hint="eastAsia" w:ascii="Calibri" w:hAnsi="Calibri" w:eastAsia="方正仿宋简体"/>
                <w:sz w:val="24"/>
                <w:highlight w:val="none"/>
              </w:rPr>
              <w:t>主要规划指标及要求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000000"/>
                <w:sz w:val="24"/>
                <w:highlight w:val="none"/>
              </w:rPr>
            </w:pPr>
            <w:r>
              <w:rPr>
                <w:rFonts w:eastAsia="方正仿宋简体"/>
                <w:color w:val="000000"/>
                <w:sz w:val="24"/>
                <w:highlight w:val="none"/>
              </w:rPr>
              <w:t>规划用地面积84783.87平方米（127.18亩），规划容积率≤2.0且≥1.0，建筑密度≤30％，绿地率≥30%，建筑高度≤80米</w:t>
            </w:r>
            <w:r>
              <w:rPr>
                <w:rFonts w:hint="eastAsia" w:eastAsia="方正仿宋简体"/>
                <w:color w:val="000000"/>
                <w:sz w:val="24"/>
                <w:highlight w:val="none"/>
              </w:rPr>
              <w:t>，其他控制指标及规划设计要求详见规划条件资自然资临规条〔2022〕字039号</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05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简体"/>
                <w:sz w:val="24"/>
                <w:highlight w:val="none"/>
              </w:rPr>
            </w:pPr>
            <w:r>
              <w:rPr>
                <w:rFonts w:hint="eastAsia" w:ascii="Calibri" w:hAnsi="Calibri" w:eastAsia="方正仿宋简体"/>
                <w:sz w:val="24"/>
                <w:highlight w:val="none"/>
              </w:rPr>
              <w:t>配套建设</w:t>
            </w:r>
          </w:p>
          <w:p>
            <w:pPr>
              <w:adjustRightInd w:val="0"/>
              <w:snapToGrid w:val="0"/>
              <w:spacing w:line="320" w:lineRule="exact"/>
              <w:jc w:val="center"/>
              <w:rPr>
                <w:rFonts w:ascii="Calibri" w:hAnsi="Calibri" w:eastAsia="方正仿宋_GBK"/>
                <w:sz w:val="24"/>
                <w:highlight w:val="none"/>
              </w:rPr>
            </w:pPr>
            <w:r>
              <w:rPr>
                <w:rFonts w:hint="eastAsia" w:ascii="Calibri" w:hAnsi="Calibri" w:eastAsia="方正仿宋简体"/>
                <w:sz w:val="24"/>
                <w:highlight w:val="none"/>
              </w:rPr>
              <w:t>要求</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hint="eastAsia" w:eastAsia="方正仿宋_GBK"/>
                <w:color w:val="000000"/>
                <w:sz w:val="24"/>
                <w:highlight w:val="none"/>
              </w:rPr>
            </w:pPr>
            <w:r>
              <w:rPr>
                <w:rFonts w:hint="eastAsia" w:eastAsia="方正仿宋简体"/>
                <w:color w:val="000000"/>
                <w:sz w:val="24"/>
                <w:highlight w:val="none"/>
              </w:rPr>
              <w:t>该地块</w:t>
            </w:r>
            <w:r>
              <w:rPr>
                <w:rFonts w:eastAsia="方正仿宋简体"/>
                <w:color w:val="000000"/>
                <w:sz w:val="24"/>
                <w:highlight w:val="none"/>
              </w:rPr>
              <w:t>：</w:t>
            </w:r>
            <w:r>
              <w:rPr>
                <w:rFonts w:hint="eastAsia" w:eastAsia="方正仿宋简体"/>
                <w:color w:val="000000"/>
                <w:sz w:val="24"/>
                <w:highlight w:val="none"/>
              </w:rPr>
              <w:t>1</w:t>
            </w:r>
            <w:r>
              <w:rPr>
                <w:rFonts w:eastAsia="方正仿宋简体"/>
                <w:color w:val="000000"/>
                <w:sz w:val="24"/>
                <w:highlight w:val="none"/>
              </w:rPr>
              <w:t>.该地块地下建（构）筑物水平投影面积不大于79655.63</w:t>
            </w:r>
            <w:r>
              <w:rPr>
                <w:rFonts w:hint="eastAsia" w:ascii="宋体" w:hAnsi="宋体" w:cs="宋体"/>
                <w:color w:val="000000"/>
                <w:sz w:val="24"/>
                <w:highlight w:val="none"/>
              </w:rPr>
              <w:t>㎡</w:t>
            </w:r>
            <w:r>
              <w:rPr>
                <w:rFonts w:hint="eastAsia" w:ascii="方正仿宋简体" w:hAnsi="方正仿宋简体" w:eastAsia="方正仿宋简体" w:cs="方正仿宋简体"/>
                <w:color w:val="000000"/>
                <w:sz w:val="24"/>
                <w:highlight w:val="none"/>
              </w:rPr>
              <w:t>；</w:t>
            </w:r>
            <w:r>
              <w:rPr>
                <w:rFonts w:eastAsia="方正仿宋简体"/>
                <w:color w:val="000000"/>
                <w:sz w:val="24"/>
                <w:highlight w:val="none"/>
              </w:rPr>
              <w:t>2.单体建筑面积大于2万</w:t>
            </w:r>
            <w:r>
              <w:rPr>
                <w:rFonts w:hint="eastAsia" w:ascii="宋体" w:hAnsi="宋体" w:cs="宋体"/>
                <w:color w:val="000000"/>
                <w:sz w:val="24"/>
                <w:highlight w:val="none"/>
              </w:rPr>
              <w:t>㎡</w:t>
            </w:r>
            <w:r>
              <w:rPr>
                <w:rFonts w:hint="eastAsia" w:ascii="方正仿宋简体" w:hAnsi="方正仿宋简体" w:eastAsia="方正仿宋简体" w:cs="方正仿宋简体"/>
                <w:color w:val="000000"/>
                <w:sz w:val="24"/>
                <w:highlight w:val="none"/>
              </w:rPr>
              <w:t>的公共建筑、地上总面积大于</w:t>
            </w:r>
            <w:r>
              <w:rPr>
                <w:rFonts w:eastAsia="方正仿宋简体"/>
                <w:color w:val="000000"/>
                <w:sz w:val="24"/>
                <w:highlight w:val="none"/>
              </w:rPr>
              <w:t>15万</w:t>
            </w:r>
            <w:r>
              <w:rPr>
                <w:rFonts w:hint="eastAsia" w:ascii="宋体" w:hAnsi="宋体" w:cs="宋体"/>
                <w:color w:val="000000"/>
                <w:sz w:val="24"/>
                <w:highlight w:val="none"/>
              </w:rPr>
              <w:t>㎡</w:t>
            </w:r>
            <w:r>
              <w:rPr>
                <w:rFonts w:hint="eastAsia" w:ascii="方正仿宋简体" w:hAnsi="方正仿宋简体" w:eastAsia="方正仿宋简体" w:cs="方正仿宋简体"/>
                <w:color w:val="000000"/>
                <w:sz w:val="24"/>
                <w:highlight w:val="none"/>
              </w:rPr>
              <w:t>的新建住宅小区至少应满足绿色建筑一星级要求</w:t>
            </w:r>
            <w:r>
              <w:rPr>
                <w:rFonts w:hint="eastAsia" w:eastAsia="方正仿宋简体"/>
                <w:color w:val="000000"/>
                <w:sz w:val="24"/>
                <w:highlight w:val="none"/>
              </w:rPr>
              <w:t>；</w:t>
            </w:r>
            <w:r>
              <w:rPr>
                <w:rFonts w:eastAsia="方正仿宋简体"/>
                <w:color w:val="000000"/>
                <w:sz w:val="24"/>
                <w:highlight w:val="none"/>
              </w:rPr>
              <w:t>3.该地块建筑单体装配率不低于35%，装配式建筑面积占新建建筑面积比例不低于33%</w:t>
            </w:r>
            <w:r>
              <w:rPr>
                <w:rFonts w:hint="eastAsia" w:eastAsia="方正仿宋简体"/>
                <w:color w:val="000000"/>
                <w:sz w:val="24"/>
                <w:highlight w:val="none"/>
              </w:rPr>
              <w:t>；</w:t>
            </w:r>
            <w:r>
              <w:rPr>
                <w:rFonts w:eastAsia="方正仿宋简体"/>
                <w:color w:val="000000"/>
                <w:sz w:val="24"/>
                <w:highlight w:val="none"/>
              </w:rPr>
              <w:t>4.建设项目须按照资阳市城市规划管理技术规定的有关要求配建社区办公和养老服务合用房、全民健身活动场地、物管用房、公厕等住宅小区配套设施，其中社区办公服务与养老服务设施合用房应按照每100户配置60</w:t>
            </w:r>
            <w:r>
              <w:rPr>
                <w:rFonts w:hint="eastAsia" w:ascii="宋体" w:hAnsi="宋体" w:cs="宋体"/>
                <w:color w:val="000000"/>
                <w:sz w:val="24"/>
                <w:highlight w:val="none"/>
              </w:rPr>
              <w:t>㎡</w:t>
            </w:r>
            <w:r>
              <w:rPr>
                <w:rFonts w:hint="eastAsia" w:ascii="方正仿宋简体" w:hAnsi="方正仿宋简体" w:eastAsia="方正仿宋简体" w:cs="方正仿宋简体"/>
                <w:color w:val="000000"/>
                <w:sz w:val="24"/>
                <w:highlight w:val="none"/>
              </w:rPr>
              <w:t>以上的标准配套建设，建成后须无偿移交资阳市临空经济</w:t>
            </w:r>
            <w:r>
              <w:rPr>
                <w:rFonts w:eastAsia="方正仿宋简体"/>
                <w:color w:val="000000"/>
                <w:sz w:val="24"/>
                <w:highlight w:val="none"/>
              </w:rPr>
              <w:t>区管理委员会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1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hint="eastAsia" w:ascii="Calibri" w:hAnsi="Calibri" w:eastAsia="方正仿宋简体"/>
                <w:sz w:val="24"/>
                <w:highlight w:val="none"/>
              </w:rPr>
            </w:pPr>
            <w:r>
              <w:rPr>
                <w:rFonts w:hint="eastAsia" w:ascii="Calibri" w:hAnsi="Calibri" w:eastAsia="方正仿宋简体"/>
                <w:sz w:val="24"/>
                <w:highlight w:val="none"/>
              </w:rPr>
              <w:t>宗地代码</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hint="eastAsia" w:eastAsia="方正仿宋简体"/>
                <w:color w:val="000000"/>
                <w:sz w:val="24"/>
                <w:highlight w:val="none"/>
              </w:rPr>
            </w:pPr>
            <w:r>
              <w:rPr>
                <w:rFonts w:hint="eastAsia" w:eastAsia="方正仿宋简体"/>
                <w:color w:val="000000"/>
                <w:sz w:val="24"/>
                <w:highlight w:val="none"/>
              </w:rPr>
              <w:t>512002003002GB00617W00000000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0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简体"/>
                <w:color w:val="000000"/>
                <w:sz w:val="24"/>
                <w:highlight w:val="none"/>
              </w:rPr>
            </w:pPr>
            <w:r>
              <w:rPr>
                <w:rFonts w:hint="eastAsia" w:ascii="Calibri" w:hAnsi="Calibri" w:eastAsia="方正仿宋简体"/>
                <w:color w:val="000000"/>
                <w:kern w:val="0"/>
                <w:sz w:val="24"/>
                <w:highlight w:val="none"/>
              </w:rPr>
              <w:t>拍卖起叫价及增价幅度</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eastAsia="方正仿宋_GBK"/>
                <w:color w:val="FF0000"/>
                <w:sz w:val="24"/>
                <w:highlight w:val="none"/>
              </w:rPr>
            </w:pPr>
            <w:r>
              <w:rPr>
                <w:rFonts w:hint="eastAsia" w:eastAsia="方正仿宋简体"/>
                <w:color w:val="000000"/>
                <w:sz w:val="24"/>
                <w:highlight w:val="none"/>
              </w:rPr>
              <w:t>29800万元（单价234.31万元/亩，楼面地价1757元/平方米），增价幅度为100万元/次</w:t>
            </w:r>
            <w:r>
              <w:rPr>
                <w:rFonts w:hint="eastAsia" w:eastAsia="方正仿宋简体"/>
                <w:bCs/>
                <w:color w:val="000000"/>
                <w:sz w:val="24"/>
                <w:highlight w:val="none"/>
              </w:rPr>
              <w:t>或该增价幅度的整数倍。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4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r>
              <w:rPr>
                <w:rFonts w:hint="eastAsia" w:ascii="Calibri" w:hAnsi="Calibri" w:eastAsia="方正仿宋简体"/>
                <w:sz w:val="24"/>
                <w:highlight w:val="none"/>
              </w:rPr>
              <w:t>竞买保证金</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color w:val="FF0000"/>
                <w:sz w:val="24"/>
                <w:highlight w:val="none"/>
              </w:rPr>
            </w:pPr>
            <w:r>
              <w:rPr>
                <w:rFonts w:hint="eastAsia" w:ascii="Calibri" w:hAnsi="Calibri" w:eastAsia="方正仿宋简体"/>
                <w:color w:val="000000"/>
                <w:sz w:val="24"/>
                <w:highlight w:val="none"/>
              </w:rPr>
              <w:t>5960万元</w:t>
            </w:r>
            <w:r>
              <w:rPr>
                <w:rFonts w:ascii="Calibri" w:hAnsi="Calibri" w:eastAsia="方正仿宋简体"/>
                <w:color w:val="000000"/>
                <w:sz w:val="24"/>
                <w:highlight w:val="none"/>
              </w:rPr>
              <w:t>（按起</w:t>
            </w:r>
            <w:r>
              <w:rPr>
                <w:rFonts w:hint="eastAsia" w:ascii="Calibri" w:hAnsi="Calibri" w:eastAsia="方正仿宋简体"/>
                <w:color w:val="000000"/>
                <w:sz w:val="24"/>
                <w:highlight w:val="none"/>
              </w:rPr>
              <w:t>叫</w:t>
            </w:r>
            <w:r>
              <w:rPr>
                <w:rFonts w:ascii="Calibri" w:hAnsi="Calibri" w:eastAsia="方正仿宋简体"/>
                <w:color w:val="000000"/>
                <w:sz w:val="24"/>
                <w:highlight w:val="none"/>
              </w:rPr>
              <w:t>价20%取整确定）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5"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sz w:val="24"/>
                <w:szCs w:val="28"/>
                <w:highlight w:val="none"/>
              </w:rPr>
            </w:pPr>
            <w:r>
              <w:rPr>
                <w:rFonts w:hint="eastAsia" w:ascii="Calibri" w:hAnsi="Calibri" w:eastAsia="方正仿宋简体"/>
                <w:kern w:val="0"/>
                <w:sz w:val="24"/>
                <w:highlight w:val="none"/>
              </w:rPr>
              <w:t>竞买人资格</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sz w:val="24"/>
                <w:highlight w:val="none"/>
              </w:rPr>
            </w:pPr>
            <w:r>
              <w:rPr>
                <w:rFonts w:ascii="Calibri" w:hAnsi="Calibri" w:eastAsia="方正仿宋简体"/>
                <w:sz w:val="24"/>
                <w:highlight w:val="none"/>
              </w:rPr>
              <w:t>中华人民共和国境内外的法人、自然人和其他组织均可申请参加，申请人可以单独申请，也可以联合申请</w:t>
            </w:r>
            <w:r>
              <w:rPr>
                <w:rFonts w:hint="eastAsia" w:ascii="Calibri" w:hAnsi="Calibri" w:eastAsia="方正仿宋简体"/>
                <w:sz w:val="24"/>
                <w:highlight w:val="none"/>
              </w:rPr>
              <w:t>。</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47"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r>
              <w:rPr>
                <w:rFonts w:hint="eastAsia" w:ascii="Calibri" w:hAnsi="Calibri" w:eastAsia="方正仿宋简体"/>
                <w:kern w:val="0"/>
                <w:sz w:val="24"/>
                <w:highlight w:val="none"/>
              </w:rPr>
              <w:t>出让方式</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kern w:val="0"/>
                <w:sz w:val="24"/>
                <w:highlight w:val="none"/>
              </w:rPr>
            </w:pPr>
            <w:r>
              <w:rPr>
                <w:rFonts w:hint="eastAsia" w:ascii="Calibri" w:hAnsi="Calibri" w:eastAsia="方正仿宋简体"/>
                <w:kern w:val="0"/>
                <w:sz w:val="24"/>
                <w:highlight w:val="none"/>
              </w:rPr>
              <w:t>有底价拍卖出让，底价由</w:t>
            </w:r>
            <w:r>
              <w:rPr>
                <w:rFonts w:ascii="Calibri" w:hAnsi="Calibri" w:eastAsia="方正仿宋简体"/>
                <w:kern w:val="0"/>
                <w:sz w:val="24"/>
                <w:highlight w:val="none"/>
              </w:rPr>
              <w:t>临空经济区</w:t>
            </w:r>
            <w:r>
              <w:rPr>
                <w:rFonts w:hint="eastAsia" w:ascii="Calibri" w:hAnsi="Calibri" w:eastAsia="方正仿宋简体"/>
                <w:kern w:val="0"/>
                <w:sz w:val="24"/>
                <w:highlight w:val="none"/>
              </w:rPr>
              <w:t>底价决策小组于拍卖结束前1个小时集体决定。</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73" w:hRule="atLeast"/>
          <w:jc w:val="center"/>
        </w:trPr>
        <w:tc>
          <w:tcPr>
            <w:tcW w:w="1416" w:type="dxa"/>
            <w:vMerge w:val="restart"/>
            <w:tcBorders>
              <w:top w:val="single" w:color="auto" w:sz="4" w:space="0"/>
              <w:right w:val="single" w:color="auto" w:sz="4" w:space="0"/>
            </w:tcBorders>
            <w:noWrap/>
            <w:vAlign w:val="center"/>
          </w:tcPr>
          <w:p>
            <w:pPr>
              <w:adjustRightInd w:val="0"/>
              <w:snapToGrid w:val="0"/>
              <w:spacing w:line="320" w:lineRule="exact"/>
              <w:ind w:left="-105" w:leftChars="-50" w:right="-105" w:rightChars="-50"/>
              <w:jc w:val="center"/>
              <w:rPr>
                <w:rFonts w:ascii="Calibri" w:hAnsi="Calibri" w:eastAsia="方正仿宋简体"/>
                <w:kern w:val="0"/>
                <w:sz w:val="24"/>
                <w:highlight w:val="none"/>
              </w:rPr>
            </w:pPr>
            <w:r>
              <w:rPr>
                <w:rFonts w:hint="eastAsia" w:ascii="Calibri" w:hAnsi="Calibri" w:eastAsia="方正仿宋简体"/>
                <w:kern w:val="0"/>
                <w:sz w:val="24"/>
                <w:highlight w:val="none"/>
              </w:rPr>
              <w:t>出让价款支付时间、金额及</w:t>
            </w:r>
          </w:p>
          <w:p>
            <w:pPr>
              <w:adjustRightInd w:val="0"/>
              <w:snapToGrid w:val="0"/>
              <w:spacing w:line="320" w:lineRule="exact"/>
              <w:ind w:left="-105" w:leftChars="-50" w:right="-105" w:rightChars="-50"/>
              <w:jc w:val="center"/>
              <w:rPr>
                <w:rFonts w:ascii="Calibri" w:hAnsi="Calibri" w:eastAsia="方正仿宋_GBK"/>
                <w:kern w:val="0"/>
                <w:sz w:val="24"/>
                <w:highlight w:val="none"/>
              </w:rPr>
            </w:pPr>
            <w:r>
              <w:rPr>
                <w:rFonts w:hint="eastAsia" w:ascii="Calibri" w:hAnsi="Calibri" w:eastAsia="方正仿宋简体"/>
                <w:kern w:val="0"/>
                <w:sz w:val="24"/>
                <w:highlight w:val="none"/>
              </w:rPr>
              <w:t>违约责任</w:t>
            </w: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ascii="Calibri" w:hAnsi="Calibri" w:eastAsia="方正仿宋_GBK"/>
                <w:sz w:val="24"/>
                <w:highlight w:val="none"/>
              </w:rPr>
            </w:pPr>
            <w:r>
              <w:rPr>
                <w:rFonts w:hint="eastAsia" w:ascii="Calibri" w:hAnsi="Calibri" w:eastAsia="方正仿宋简体"/>
                <w:sz w:val="24"/>
                <w:highlight w:val="none"/>
              </w:rPr>
              <w:t>第一期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sz w:val="24"/>
                <w:highlight w:val="none"/>
              </w:rPr>
            </w:pPr>
            <w:r>
              <w:rPr>
                <w:rFonts w:hint="eastAsia" w:ascii="Calibri" w:hAnsi="Calibri" w:eastAsia="方正仿宋简体"/>
                <w:sz w:val="24"/>
                <w:highlight w:val="none"/>
              </w:rPr>
              <w:t>签订《出让合同》之日起一个月内缴纳成交总价的50%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87" w:hRule="atLeast"/>
          <w:jc w:val="center"/>
        </w:trPr>
        <w:tc>
          <w:tcPr>
            <w:tcW w:w="1416" w:type="dxa"/>
            <w:vMerge w:val="continue"/>
            <w:tcBorders>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ascii="Calibri" w:hAnsi="Calibri" w:eastAsia="方正仿宋_GBK"/>
                <w:sz w:val="24"/>
                <w:highlight w:val="none"/>
              </w:rPr>
            </w:pPr>
            <w:r>
              <w:rPr>
                <w:rFonts w:hint="eastAsia" w:ascii="Calibri" w:hAnsi="Calibri" w:eastAsia="方正仿宋简体"/>
                <w:sz w:val="24"/>
                <w:highlight w:val="none"/>
              </w:rPr>
              <w:t>第二期</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sz w:val="24"/>
                <w:highlight w:val="none"/>
              </w:rPr>
            </w:pPr>
            <w:r>
              <w:rPr>
                <w:rFonts w:hint="eastAsia" w:ascii="Calibri" w:hAnsi="Calibri" w:eastAsia="方正仿宋简体"/>
                <w:sz w:val="24"/>
                <w:highlight w:val="none"/>
              </w:rPr>
              <w:t>签订《出让合同》之日起1年内缴清（不计息）</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60" w:hRule="atLeast"/>
          <w:jc w:val="center"/>
        </w:trPr>
        <w:tc>
          <w:tcPr>
            <w:tcW w:w="1416" w:type="dxa"/>
            <w:vMerge w:val="continue"/>
            <w:tcBorders>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p>
        </w:tc>
        <w:tc>
          <w:tcPr>
            <w:tcW w:w="1395" w:type="dxa"/>
            <w:tcBorders>
              <w:top w:val="single" w:color="auto" w:sz="4" w:space="0"/>
              <w:left w:val="single" w:color="auto" w:sz="4" w:space="0"/>
              <w:bottom w:val="single" w:color="auto" w:sz="4" w:space="0"/>
              <w:right w:val="single" w:color="auto" w:sz="4" w:space="0"/>
            </w:tcBorders>
            <w:noWrap/>
            <w:vAlign w:val="center"/>
          </w:tcPr>
          <w:p>
            <w:pPr>
              <w:adjustRightInd w:val="0"/>
              <w:snapToGrid w:val="0"/>
              <w:spacing w:line="320" w:lineRule="exact"/>
              <w:ind w:firstLine="120" w:firstLineChars="50"/>
              <w:jc w:val="center"/>
              <w:rPr>
                <w:rFonts w:ascii="Calibri" w:hAnsi="Calibri" w:eastAsia="方正仿宋_GBK"/>
                <w:color w:val="000000"/>
                <w:sz w:val="24"/>
                <w:highlight w:val="none"/>
              </w:rPr>
            </w:pPr>
            <w:r>
              <w:rPr>
                <w:rFonts w:hint="eastAsia" w:ascii="Calibri" w:hAnsi="Calibri" w:eastAsia="方正仿宋简体"/>
                <w:color w:val="000000"/>
                <w:sz w:val="24"/>
                <w:highlight w:val="none"/>
              </w:rPr>
              <w:t>违约责任</w:t>
            </w:r>
          </w:p>
        </w:tc>
        <w:tc>
          <w:tcPr>
            <w:tcW w:w="6023" w:type="dxa"/>
            <w:tcBorders>
              <w:top w:val="single" w:color="auto" w:sz="4" w:space="0"/>
              <w:left w:val="single" w:color="auto" w:sz="4" w:space="0"/>
              <w:bottom w:val="single" w:color="auto" w:sz="4" w:space="0"/>
            </w:tcBorders>
            <w:noWrap/>
            <w:vAlign w:val="center"/>
          </w:tcPr>
          <w:p>
            <w:pPr>
              <w:adjustRightInd w:val="0"/>
              <w:snapToGrid w:val="0"/>
              <w:spacing w:line="320" w:lineRule="exact"/>
              <w:rPr>
                <w:rFonts w:ascii="Calibri" w:hAnsi="Calibri" w:eastAsia="方正仿宋_GBK"/>
                <w:color w:val="000000"/>
                <w:sz w:val="24"/>
                <w:highlight w:val="none"/>
              </w:rPr>
            </w:pPr>
            <w:r>
              <w:rPr>
                <w:rFonts w:hint="eastAsia" w:ascii="Calibri" w:hAnsi="Calibri" w:eastAsia="方正仿宋简体"/>
                <w:color w:val="000000"/>
                <w:sz w:val="24"/>
                <w:highlight w:val="none"/>
              </w:rPr>
              <w:t>不按期支付出让价款的，按日支付迟延支付款项</w:t>
            </w:r>
            <w:r>
              <w:rPr>
                <w:rFonts w:ascii="Calibri" w:hAnsi="Calibri" w:eastAsia="方正仿宋简体"/>
                <w:color w:val="000000"/>
                <w:sz w:val="24"/>
                <w:highlight w:val="none"/>
              </w:rPr>
              <w:t>1‰</w:t>
            </w:r>
            <w:r>
              <w:rPr>
                <w:rFonts w:hint="eastAsia" w:ascii="Calibri" w:hAnsi="Calibri" w:eastAsia="方正仿宋简体"/>
                <w:color w:val="000000"/>
                <w:sz w:val="24"/>
                <w:highlight w:val="none"/>
              </w:rPr>
              <w:t>的违约金。</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58"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方正仿宋_GBK" w:hAnsi="方正仿宋_GBK" w:eastAsia="方正仿宋_GBK" w:cs="方正仿宋_GBK"/>
                <w:kern w:val="0"/>
                <w:sz w:val="24"/>
                <w:highlight w:val="none"/>
              </w:rPr>
            </w:pPr>
            <w:r>
              <w:rPr>
                <w:rFonts w:hint="eastAsia" w:ascii="方正仿宋_GBK" w:hAnsi="方正仿宋_GBK" w:eastAsia="方正仿宋简体" w:cs="方正仿宋_GBK"/>
                <w:kern w:val="0"/>
                <w:sz w:val="24"/>
                <w:highlight w:val="none"/>
              </w:rPr>
              <w:t>土地价款解缴渠道</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方正仿宋_GBK" w:hAnsi="方正仿宋_GBK" w:eastAsia="方正仿宋_GBK" w:cs="方正仿宋_GBK"/>
                <w:color w:val="000000"/>
                <w:sz w:val="24"/>
                <w:highlight w:val="none"/>
              </w:rPr>
            </w:pPr>
            <w:r>
              <w:rPr>
                <w:rFonts w:ascii="方正仿宋_GBK" w:hAnsi="方正仿宋_GBK" w:eastAsia="方正仿宋简体" w:cs="方正仿宋_GBK"/>
                <w:color w:val="000000"/>
                <w:sz w:val="24"/>
                <w:highlight w:val="none"/>
              </w:rPr>
              <w:t>国家税务总局资阳市雁江区税务局资溪税务分局</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728"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r>
              <w:rPr>
                <w:rFonts w:hint="eastAsia" w:ascii="Calibri" w:hAnsi="Calibri" w:eastAsia="方正仿宋简体"/>
                <w:w w:val="90"/>
                <w:kern w:val="0"/>
                <w:sz w:val="24"/>
                <w:highlight w:val="none"/>
              </w:rPr>
              <w:t>地下空间出让价款缴纳约定</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Calibri" w:hAnsi="Calibri" w:eastAsia="方正仿宋_GBK"/>
                <w:color w:val="000000"/>
                <w:sz w:val="24"/>
                <w:highlight w:val="none"/>
              </w:rPr>
            </w:pPr>
            <w:r>
              <w:rPr>
                <w:rFonts w:hint="eastAsia" w:ascii="Calibri" w:hAnsi="Calibri" w:eastAsia="方正仿宋简体"/>
                <w:color w:val="000000"/>
                <w:sz w:val="24"/>
                <w:highlight w:val="none"/>
              </w:rPr>
              <w:t>该地块在确立地下空间国有建设用地使用权时，需按相关政策规定另行缴纳地下空间国有建设用地使用权出让价款。</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r>
              <w:rPr>
                <w:rFonts w:hint="eastAsia" w:ascii="Calibri" w:hAnsi="Calibri" w:eastAsia="方正仿宋简体"/>
                <w:kern w:val="0"/>
                <w:sz w:val="24"/>
                <w:highlight w:val="none"/>
              </w:rPr>
              <w:t>土地交付时间及标准</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Calibri" w:hAnsi="Calibri" w:eastAsia="方正仿宋_GBK"/>
                <w:color w:val="000000"/>
                <w:sz w:val="24"/>
                <w:highlight w:val="none"/>
              </w:rPr>
            </w:pPr>
            <w:r>
              <w:rPr>
                <w:rFonts w:hint="eastAsia" w:ascii="Calibri" w:hAnsi="Calibri" w:eastAsia="方正仿宋简体"/>
                <w:color w:val="000000"/>
                <w:sz w:val="24"/>
                <w:highlight w:val="none"/>
              </w:rPr>
              <w:t>按约定出让价款缴纳最后日期之日起10个工作日内</w:t>
            </w:r>
            <w:r>
              <w:rPr>
                <w:rFonts w:ascii="Calibri" w:hAnsi="Calibri" w:eastAsia="方正仿宋简体"/>
                <w:color w:val="000000"/>
                <w:sz w:val="24"/>
                <w:highlight w:val="none"/>
              </w:rPr>
              <w:t>，按土地现状将该</w:t>
            </w:r>
            <w:r>
              <w:rPr>
                <w:rFonts w:hint="eastAsia" w:ascii="Calibri" w:hAnsi="Calibri" w:eastAsia="方正仿宋简体"/>
                <w:color w:val="000000"/>
                <w:sz w:val="24"/>
                <w:highlight w:val="none"/>
              </w:rPr>
              <w:t>地块</w:t>
            </w:r>
            <w:r>
              <w:rPr>
                <w:rFonts w:ascii="Calibri" w:hAnsi="Calibri" w:eastAsia="方正仿宋简体"/>
                <w:color w:val="000000"/>
                <w:sz w:val="24"/>
                <w:highlight w:val="none"/>
              </w:rPr>
              <w:t>交付给受让人</w:t>
            </w:r>
            <w:r>
              <w:rPr>
                <w:rFonts w:hint="eastAsia" w:ascii="Calibri" w:hAnsi="Calibri" w:eastAsia="方正仿宋简体"/>
                <w:color w:val="000000"/>
                <w:sz w:val="24"/>
                <w:highlight w:val="none"/>
              </w:rPr>
              <w:t>，</w:t>
            </w:r>
            <w:r>
              <w:rPr>
                <w:rFonts w:hint="eastAsia" w:ascii="Calibri" w:hAnsi="Calibri" w:eastAsia="方正仿宋简体"/>
                <w:bCs/>
                <w:color w:val="000000"/>
                <w:sz w:val="24"/>
                <w:highlight w:val="none"/>
              </w:rPr>
              <w:t>地块</w:t>
            </w:r>
            <w:r>
              <w:rPr>
                <w:rFonts w:ascii="Calibri" w:hAnsi="Calibri" w:eastAsia="方正仿宋简体"/>
                <w:bCs/>
                <w:color w:val="000000"/>
                <w:sz w:val="24"/>
                <w:highlight w:val="none"/>
              </w:rPr>
              <w:t>内</w:t>
            </w:r>
            <w:r>
              <w:rPr>
                <w:rFonts w:ascii="Calibri" w:hAnsi="Calibri" w:eastAsia="方正仿宋简体"/>
                <w:color w:val="000000"/>
                <w:sz w:val="24"/>
                <w:highlight w:val="none"/>
              </w:rPr>
              <w:t>若发现地下管线、管网等地下状况，须按国家现行相关规范要求予以保护或搬迁，所需费用由竞得人自行承担。</w:t>
            </w:r>
            <w:r>
              <w:rPr>
                <w:rFonts w:hint="eastAsia" w:ascii="Calibri" w:hAnsi="Calibri" w:eastAsia="方正仿宋简体"/>
                <w:bCs/>
                <w:color w:val="000000"/>
                <w:sz w:val="24"/>
                <w:highlight w:val="none"/>
              </w:rPr>
              <w:t>因受让人未按约定时间缴清全部土地价款或不按约定时限提出交地申请导致出让人无法按约定时间交地的，受让人仍需按合同约定的开竣工时间执行。</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hint="eastAsia" w:ascii="Calibri" w:hAnsi="Calibri" w:eastAsia="方正仿宋_GBK"/>
                <w:kern w:val="0"/>
                <w:sz w:val="24"/>
                <w:highlight w:val="none"/>
              </w:rPr>
            </w:pPr>
            <w:r>
              <w:rPr>
                <w:rFonts w:hint="eastAsia" w:ascii="Calibri" w:hAnsi="Calibri" w:eastAsia="方正仿宋简体"/>
                <w:kern w:val="0"/>
                <w:sz w:val="24"/>
                <w:highlight w:val="none"/>
              </w:rPr>
              <w:t>交房即领证</w:t>
            </w:r>
            <w:r>
              <w:rPr>
                <w:rFonts w:hint="eastAsia" w:ascii="Calibri" w:hAnsi="Calibri" w:eastAsia="方正仿宋简体"/>
                <w:kern w:val="0"/>
                <w:sz w:val="24"/>
                <w:highlight w:val="none"/>
              </w:rPr>
              <w:tab/>
            </w:r>
            <w:r>
              <w:rPr>
                <w:rFonts w:hint="eastAsia" w:ascii="Calibri" w:hAnsi="Calibri" w:eastAsia="方正仿宋简体"/>
                <w:kern w:val="0"/>
                <w:sz w:val="24"/>
                <w:highlight w:val="none"/>
              </w:rPr>
              <w:tab/>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hint="eastAsia" w:ascii="Calibri" w:hAnsi="Calibri" w:eastAsia="方正仿宋_GBK"/>
                <w:kern w:val="0"/>
                <w:sz w:val="24"/>
                <w:highlight w:val="none"/>
              </w:rPr>
            </w:pPr>
            <w:r>
              <w:rPr>
                <w:rFonts w:hint="eastAsia" w:ascii="Calibri" w:hAnsi="Calibri" w:eastAsia="方正仿宋简体"/>
                <w:kern w:val="0"/>
                <w:sz w:val="24"/>
                <w:highlight w:val="none"/>
              </w:rPr>
              <w:t>根据资阳市自然资源和规划局、资阳市住房和城乡建设局、国家税务总局资阳市税务局、资阳市政务服务和大数据管理局、资阳市人民防空办公室关于印发《资阳市新建商品房“交房即领证”改革实施方案》的通知要求，资阳市新建商品房实行“交房即领证”制度</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586" w:hRule="atLeast"/>
          <w:jc w:val="center"/>
        </w:trPr>
        <w:tc>
          <w:tcPr>
            <w:tcW w:w="1416" w:type="dxa"/>
            <w:tcBorders>
              <w:top w:val="single" w:color="auto" w:sz="4" w:space="0"/>
              <w:bottom w:val="single" w:color="auto" w:sz="4" w:space="0"/>
              <w:right w:val="single" w:color="auto" w:sz="4" w:space="0"/>
            </w:tcBorders>
            <w:noWrap/>
            <w:vAlign w:val="center"/>
          </w:tcPr>
          <w:p>
            <w:pPr>
              <w:adjustRightInd w:val="0"/>
              <w:snapToGrid w:val="0"/>
              <w:spacing w:line="320" w:lineRule="exact"/>
              <w:jc w:val="center"/>
              <w:rPr>
                <w:rFonts w:ascii="Calibri" w:hAnsi="Calibri" w:eastAsia="方正仿宋_GBK"/>
                <w:kern w:val="0"/>
                <w:sz w:val="24"/>
                <w:highlight w:val="none"/>
              </w:rPr>
            </w:pPr>
            <w:r>
              <w:rPr>
                <w:rFonts w:hint="eastAsia" w:ascii="Calibri" w:hAnsi="Calibri" w:eastAsia="方正仿宋简体"/>
                <w:kern w:val="0"/>
                <w:sz w:val="24"/>
                <w:highlight w:val="none"/>
              </w:rPr>
              <w:t>开竣工时间及违约责任</w:t>
            </w:r>
          </w:p>
        </w:tc>
        <w:tc>
          <w:tcPr>
            <w:tcW w:w="7418" w:type="dxa"/>
            <w:gridSpan w:val="2"/>
            <w:tcBorders>
              <w:top w:val="single" w:color="auto" w:sz="4" w:space="0"/>
              <w:left w:val="single" w:color="auto" w:sz="4" w:space="0"/>
              <w:bottom w:val="single" w:color="auto" w:sz="4" w:space="0"/>
            </w:tcBorders>
            <w:noWrap/>
            <w:vAlign w:val="center"/>
          </w:tcPr>
          <w:p>
            <w:pPr>
              <w:adjustRightInd w:val="0"/>
              <w:snapToGrid w:val="0"/>
              <w:spacing w:line="320" w:lineRule="exact"/>
              <w:jc w:val="left"/>
              <w:rPr>
                <w:rFonts w:ascii="Calibri" w:hAnsi="Calibri" w:eastAsia="方正仿宋简体"/>
                <w:sz w:val="24"/>
                <w:highlight w:val="none"/>
              </w:rPr>
            </w:pPr>
            <w:r>
              <w:rPr>
                <w:rFonts w:hint="eastAsia" w:ascii="Calibri" w:hAnsi="Calibri" w:eastAsia="方正仿宋简体"/>
                <w:sz w:val="24"/>
                <w:highlight w:val="none"/>
              </w:rPr>
              <w:t>自《出让合同》约定交地</w:t>
            </w:r>
            <w:r>
              <w:rPr>
                <w:rFonts w:hint="eastAsia" w:ascii="Calibri" w:hAnsi="Calibri" w:eastAsia="方正仿宋简体"/>
                <w:sz w:val="24"/>
                <w:highlight w:val="none"/>
                <w:shd w:val="clear" w:color="auto" w:fill="FFFFFF"/>
              </w:rPr>
              <w:t>之日起1年内开工，自开工之日起3年内竣工。</w:t>
            </w:r>
            <w:r>
              <w:rPr>
                <w:rFonts w:hint="eastAsia" w:ascii="Calibri" w:hAnsi="Calibri" w:eastAsia="方正仿宋简体"/>
                <w:color w:val="000000"/>
                <w:sz w:val="24"/>
                <w:highlight w:val="none"/>
              </w:rPr>
              <w:t>未能按照合同约定日期开工、竣工的，按《</w:t>
            </w:r>
            <w:r>
              <w:rPr>
                <w:rFonts w:hint="eastAsia" w:ascii="Calibri" w:hAnsi="Calibri" w:eastAsia="方正仿宋简体"/>
                <w:sz w:val="24"/>
                <w:highlight w:val="none"/>
              </w:rPr>
              <w:t>闲置土地处置办法》的相关规定办理</w:t>
            </w:r>
            <w:r>
              <w:rPr>
                <w:rFonts w:hint="eastAsia" w:ascii="Calibri" w:hAnsi="Calibri" w:eastAsia="方正仿宋简体"/>
                <w:color w:val="000000"/>
                <w:sz w:val="24"/>
                <w:highlight w:val="none"/>
              </w:rPr>
              <w:t>。</w:t>
            </w:r>
          </w:p>
        </w:tc>
      </w:tr>
    </w:tbl>
    <w:p>
      <w:pPr>
        <w:pStyle w:val="2"/>
        <w:numPr>
          <w:ilvl w:val="0"/>
          <w:numId w:val="0"/>
        </w:numPr>
        <w:rPr>
          <w:rFonts w:hint="default" w:eastAsiaTheme="minorEastAsia"/>
          <w:highlight w:val="none"/>
          <w:lang w:val="en-US" w:eastAsia="zh-CN"/>
        </w:rPr>
      </w:pPr>
    </w:p>
    <w:p>
      <w:pPr>
        <w:widowControl/>
        <w:spacing w:line="600" w:lineRule="exact"/>
        <w:ind w:firstLine="642" w:firstLineChars="200"/>
        <w:rPr>
          <w:rFonts w:ascii="方正黑体_GBK" w:hAnsi="方正黑体_GBK" w:eastAsia="方正黑体_GBK" w:cs="方正黑体_GBK"/>
          <w:b/>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
          <w:color w:val="000000" w:themeColor="text1"/>
          <w:sz w:val="32"/>
          <w:szCs w:val="32"/>
          <w:highlight w:val="none"/>
          <w14:textFill>
            <w14:solidFill>
              <w14:schemeClr w14:val="tx1"/>
            </w14:solidFill>
          </w14:textFill>
        </w:rPr>
        <w:t>四、竞买资格及要求</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（一）中华人民共和国境内外的法人、自然人和其他组织均可按规定申请参加，</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但法律法规对申请人另有限制的除外。</w:t>
      </w:r>
      <w:r>
        <w:rPr>
          <w:rFonts w:ascii="Times New Roman" w:hAnsi="Times New Roman" w:eastAsia="方正仿宋_GBK" w:cs="Times New Roman"/>
          <w:color w:val="000000" w:themeColor="text1"/>
          <w:sz w:val="32"/>
          <w:szCs w:val="32"/>
          <w:highlight w:val="none"/>
          <w14:textFill>
            <w14:solidFill>
              <w14:schemeClr w14:val="tx1"/>
            </w14:solidFill>
          </w14:textFill>
        </w:rPr>
        <w:t>申请人可以单独申请，也可以联合申请</w:t>
      </w:r>
      <w:r>
        <w:rPr>
          <w:rFonts w:ascii="Times New Roman" w:hAnsi="Times New Roman" w:eastAsia="方正仿宋_GBK" w:cs="Times New Roman"/>
          <w:b/>
          <w:color w:val="000000" w:themeColor="text1"/>
          <w:sz w:val="32"/>
          <w:szCs w:val="32"/>
          <w:highlight w:val="none"/>
          <w14:textFill>
            <w14:solidFill>
              <w14:schemeClr w14:val="tx1"/>
            </w14:solidFill>
          </w14:textFill>
        </w:rPr>
        <w:t>（申请人竞得土地后，实施房地产开发和经营，需符合《</w:t>
      </w:r>
      <w:r>
        <w:rPr>
          <w:rFonts w:hint="eastAsia" w:ascii="Times New Roman" w:hAnsi="Times New Roman" w:eastAsia="方正仿宋_GBK" w:cs="Times New Roman"/>
          <w:b/>
          <w:color w:val="000000" w:themeColor="text1"/>
          <w:sz w:val="32"/>
          <w:szCs w:val="32"/>
          <w:highlight w:val="none"/>
          <w14:textFill>
            <w14:solidFill>
              <w14:schemeClr w14:val="tx1"/>
            </w14:solidFill>
          </w14:textFill>
        </w:rPr>
        <w:t>中华人民共和国</w:t>
      </w:r>
      <w:r>
        <w:rPr>
          <w:rFonts w:ascii="Times New Roman" w:hAnsi="Times New Roman" w:eastAsia="方正仿宋_GBK" w:cs="Times New Roman"/>
          <w:b/>
          <w:color w:val="000000" w:themeColor="text1"/>
          <w:sz w:val="32"/>
          <w:szCs w:val="32"/>
          <w:highlight w:val="none"/>
          <w14:textFill>
            <w14:solidFill>
              <w14:schemeClr w14:val="tx1"/>
            </w14:solidFill>
          </w14:textFill>
        </w:rPr>
        <w:t>城市房地产管理法》《城市房地产开发经营管理条例》的规定）</w:t>
      </w:r>
      <w:r>
        <w:rPr>
          <w:rFonts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right="-115" w:rightChars="-55" w:firstLine="640" w:firstLineChars="200"/>
        <w:rPr>
          <w:rFonts w:ascii="Times New Roman" w:hAnsi="Times New Roman" w:eastAsia="方正仿宋_GBK" w:cs="Times New Roman"/>
          <w:color w:val="000000"/>
          <w:sz w:val="32"/>
          <w:szCs w:val="32"/>
          <w:highlight w:val="none"/>
        </w:rPr>
      </w:pPr>
      <w:r>
        <w:rPr>
          <w:rFonts w:ascii="Times New Roman" w:hAnsi="Times New Roman" w:eastAsia="方正仿宋_GBK" w:cs="Times New Roman"/>
          <w:sz w:val="32"/>
          <w:szCs w:val="32"/>
          <w:highlight w:val="none"/>
        </w:rPr>
        <w:t>（二）该地块竞买保证金为</w:t>
      </w:r>
      <w:r>
        <w:rPr>
          <w:rFonts w:hint="eastAsia" w:ascii="Times New Roman" w:hAnsi="Times New Roman" w:eastAsia="方正仿宋_GBK" w:cs="Times New Roman"/>
          <w:b/>
          <w:bCs/>
          <w:sz w:val="32"/>
          <w:szCs w:val="32"/>
          <w:highlight w:val="none"/>
          <w:u w:val="single"/>
          <w:lang w:val="en-US" w:eastAsia="zh-CN"/>
        </w:rPr>
        <w:t>5960</w:t>
      </w:r>
      <w:r>
        <w:rPr>
          <w:rFonts w:ascii="Times New Roman" w:hAnsi="Times New Roman" w:eastAsia="方正仿宋_GBK" w:cs="Times New Roman"/>
          <w:b/>
          <w:bCs/>
          <w:kern w:val="0"/>
          <w:sz w:val="32"/>
          <w:szCs w:val="32"/>
          <w:highlight w:val="none"/>
          <w:u w:val="single"/>
        </w:rPr>
        <w:t>万元</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w w:val="90"/>
          <w:sz w:val="32"/>
          <w:szCs w:val="32"/>
          <w:highlight w:val="none"/>
        </w:rPr>
        <w:t>人民币</w:t>
      </w:r>
      <w:r>
        <w:rPr>
          <w:rFonts w:ascii="Times New Roman" w:hAnsi="Times New Roman" w:eastAsia="方正仿宋_GBK" w:cs="Times New Roman"/>
          <w:kern w:val="0"/>
          <w:sz w:val="32"/>
          <w:szCs w:val="32"/>
          <w:highlight w:val="none"/>
        </w:rPr>
        <w:t>），</w:t>
      </w:r>
      <w:r>
        <w:rPr>
          <w:rFonts w:ascii="Times New Roman" w:hAnsi="Times New Roman" w:eastAsia="方正仿宋_GBK" w:cs="Times New Roman"/>
          <w:color w:val="000000"/>
          <w:sz w:val="32"/>
          <w:szCs w:val="32"/>
          <w:highlight w:val="none"/>
        </w:rPr>
        <w:t>交纳竞买保证金的截止时间为</w:t>
      </w:r>
      <w:r>
        <w:rPr>
          <w:rFonts w:ascii="Times New Roman" w:hAnsi="Times New Roman" w:eastAsia="方正仿宋_GBK" w:cs="Times New Roman"/>
          <w:color w:val="000000"/>
          <w:sz w:val="32"/>
          <w:szCs w:val="32"/>
          <w:highlight w:val="none"/>
          <w:u w:val="single" w:color="000000"/>
        </w:rPr>
        <w:t>202</w:t>
      </w:r>
      <w:r>
        <w:rPr>
          <w:rFonts w:hint="eastAsia" w:ascii="Times New Roman" w:hAnsi="Times New Roman" w:eastAsia="方正仿宋_GBK" w:cs="Times New Roman"/>
          <w:color w:val="000000"/>
          <w:sz w:val="32"/>
          <w:szCs w:val="32"/>
          <w:highlight w:val="none"/>
          <w:u w:val="single" w:color="000000"/>
          <w:lang w:val="en-US" w:eastAsia="zh-CN"/>
        </w:rPr>
        <w:t>3</w:t>
      </w:r>
      <w:r>
        <w:rPr>
          <w:rFonts w:ascii="Times New Roman" w:hAnsi="Times New Roman" w:eastAsia="方正仿宋_GBK" w:cs="Times New Roman"/>
          <w:color w:val="000000"/>
          <w:sz w:val="32"/>
          <w:szCs w:val="32"/>
          <w:highlight w:val="none"/>
        </w:rPr>
        <w:t>年</w:t>
      </w:r>
      <w:r>
        <w:rPr>
          <w:rFonts w:hint="eastAsia" w:ascii="Times New Roman" w:hAnsi="Times New Roman" w:eastAsia="方正仿宋_GBK" w:cs="Times New Roman"/>
          <w:color w:val="000000"/>
          <w:sz w:val="32"/>
          <w:szCs w:val="32"/>
          <w:highlight w:val="none"/>
          <w:u w:val="single"/>
          <w:lang w:val="en-US" w:eastAsia="zh-CN"/>
        </w:rPr>
        <w:t xml:space="preserve"> 5</w:t>
      </w:r>
      <w:r>
        <w:rPr>
          <w:rFonts w:ascii="Times New Roman" w:hAnsi="Times New Roman" w:eastAsia="方正仿宋_GBK" w:cs="Times New Roman"/>
          <w:color w:val="000000"/>
          <w:sz w:val="32"/>
          <w:szCs w:val="32"/>
          <w:highlight w:val="none"/>
        </w:rPr>
        <w:t>月</w:t>
      </w:r>
      <w:r>
        <w:rPr>
          <w:rFonts w:hint="eastAsia" w:ascii="Times New Roman" w:hAnsi="Times New Roman" w:eastAsia="方正仿宋_GBK" w:cs="Times New Roman"/>
          <w:color w:val="000000"/>
          <w:sz w:val="32"/>
          <w:szCs w:val="32"/>
          <w:highlight w:val="none"/>
          <w:u w:val="single"/>
          <w:lang w:val="en-US" w:eastAsia="zh-CN"/>
        </w:rPr>
        <w:t>29</w:t>
      </w:r>
      <w:r>
        <w:rPr>
          <w:rFonts w:ascii="Times New Roman" w:hAnsi="Times New Roman" w:eastAsia="方正仿宋_GBK" w:cs="Times New Roman"/>
          <w:color w:val="000000"/>
          <w:sz w:val="32"/>
          <w:szCs w:val="32"/>
          <w:highlight w:val="none"/>
        </w:rPr>
        <w:t>日</w:t>
      </w:r>
      <w:r>
        <w:rPr>
          <w:rFonts w:ascii="Times New Roman" w:hAnsi="Times New Roman" w:eastAsia="方正仿宋_GBK" w:cs="Times New Roman"/>
          <w:color w:val="000000"/>
          <w:sz w:val="32"/>
          <w:szCs w:val="32"/>
          <w:highlight w:val="none"/>
          <w:u w:val="single" w:color="000000"/>
        </w:rPr>
        <w:t>16</w:t>
      </w:r>
      <w:r>
        <w:rPr>
          <w:rFonts w:ascii="Times New Roman" w:hAnsi="Times New Roman" w:eastAsia="方正仿宋_GBK" w:cs="Times New Roman"/>
          <w:color w:val="000000"/>
          <w:sz w:val="32"/>
          <w:szCs w:val="32"/>
          <w:highlight w:val="none"/>
        </w:rPr>
        <w:t>时（以竞买保证金到账时间为准），</w:t>
      </w:r>
      <w:r>
        <w:rPr>
          <w:rFonts w:ascii="Times New Roman" w:hAnsi="Times New Roman" w:eastAsia="方正仿宋_GBK" w:cs="Times New Roman"/>
          <w:b/>
          <w:bCs/>
          <w:sz w:val="32"/>
          <w:szCs w:val="32"/>
          <w:highlight w:val="none"/>
        </w:rPr>
        <w:t>交纳竞买保证金</w:t>
      </w:r>
      <w:r>
        <w:rPr>
          <w:rFonts w:hint="eastAsia" w:ascii="Times New Roman" w:hAnsi="Times New Roman" w:eastAsia="方正仿宋_GBK" w:cs="Times New Roman"/>
          <w:b/>
          <w:bCs/>
          <w:sz w:val="32"/>
          <w:szCs w:val="32"/>
          <w:highlight w:val="none"/>
          <w:lang w:eastAsia="zh-CN"/>
        </w:rPr>
        <w:t>时，</w:t>
      </w:r>
      <w:r>
        <w:rPr>
          <w:rFonts w:ascii="Times New Roman" w:hAnsi="Times New Roman" w:eastAsia="方正仿宋_GBK" w:cs="Times New Roman"/>
          <w:b/>
          <w:bCs/>
          <w:sz w:val="32"/>
          <w:szCs w:val="32"/>
          <w:highlight w:val="none"/>
          <w:lang w:val="en-US" w:eastAsia="zh-CN"/>
        </w:rPr>
        <w:t>竞买人</w:t>
      </w:r>
      <w:r>
        <w:rPr>
          <w:rFonts w:hint="eastAsia" w:ascii="Times New Roman" w:hAnsi="Times New Roman" w:eastAsia="方正仿宋_GBK" w:cs="Times New Roman"/>
          <w:b/>
          <w:bCs/>
          <w:sz w:val="32"/>
          <w:szCs w:val="32"/>
          <w:highlight w:val="none"/>
          <w:lang w:val="en-US" w:eastAsia="zh-CN"/>
        </w:rPr>
        <w:t>务必在</w:t>
      </w:r>
      <w:r>
        <w:rPr>
          <w:rFonts w:ascii="Times New Roman" w:hAnsi="Times New Roman" w:eastAsia="方正仿宋_GBK" w:cs="Times New Roman"/>
          <w:b/>
          <w:bCs/>
          <w:sz w:val="32"/>
          <w:szCs w:val="32"/>
          <w:highlight w:val="none"/>
          <w:lang w:val="en-US" w:eastAsia="zh-CN"/>
        </w:rPr>
        <w:t>转款凭证上</w:t>
      </w:r>
      <w:r>
        <w:rPr>
          <w:rFonts w:hint="eastAsia" w:ascii="Times New Roman" w:hAnsi="Times New Roman" w:eastAsia="方正仿宋_GBK" w:cs="Times New Roman"/>
          <w:b/>
          <w:bCs/>
          <w:sz w:val="32"/>
          <w:szCs w:val="32"/>
          <w:highlight w:val="none"/>
          <w:lang w:val="en-US" w:eastAsia="zh-CN"/>
        </w:rPr>
        <w:t>注明</w:t>
      </w:r>
      <w:r>
        <w:rPr>
          <w:rFonts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交纳</w:t>
      </w:r>
      <w:r>
        <w:rPr>
          <w:rFonts w:hint="default" w:ascii="Times New Roman" w:hAnsi="Times New Roman" w:eastAsia="方正仿宋_GBK" w:cs="Times New Roman"/>
          <w:b/>
          <w:bCs/>
          <w:sz w:val="32"/>
          <w:szCs w:val="32"/>
          <w:highlight w:val="none"/>
          <w:u w:val="single"/>
          <w:lang w:val="en-US" w:eastAsia="zh-CN"/>
        </w:rPr>
        <w:t>×××</w:t>
      </w:r>
      <w:r>
        <w:rPr>
          <w:rFonts w:hint="eastAsia" w:ascii="Times New Roman" w:hAnsi="Times New Roman" w:eastAsia="方正仿宋_GBK" w:cs="Times New Roman"/>
          <w:b/>
          <w:bCs/>
          <w:sz w:val="32"/>
          <w:szCs w:val="32"/>
          <w:highlight w:val="none"/>
          <w:u w:val="single"/>
          <w:lang w:val="en-US" w:eastAsia="zh-CN"/>
        </w:rPr>
        <w:t>号地块竞买保证金”</w:t>
      </w:r>
      <w:r>
        <w:rPr>
          <w:rFonts w:hint="eastAsia" w:ascii="Times New Roman" w:hAnsi="Times New Roman" w:eastAsia="方正仿宋_GBK" w:cs="Times New Roman"/>
          <w:sz w:val="32"/>
          <w:szCs w:val="32"/>
          <w:highlight w:val="none"/>
          <w:u w:val="single"/>
          <w:lang w:val="en-US" w:eastAsia="zh-CN"/>
        </w:rPr>
        <w:t>。</w:t>
      </w:r>
      <w:r>
        <w:rPr>
          <w:rFonts w:ascii="Times New Roman" w:hAnsi="Times New Roman" w:eastAsia="方正仿宋_GBK" w:cs="Times New Roman"/>
          <w:sz w:val="32"/>
          <w:szCs w:val="32"/>
          <w:highlight w:val="none"/>
          <w:lang w:val="en-US" w:eastAsia="zh-CN"/>
        </w:rPr>
        <w:t>为确保竞买保证金及时到账，建议竞买人尽可能</w:t>
      </w:r>
      <w:r>
        <w:rPr>
          <w:rFonts w:hint="eastAsia" w:ascii="Times New Roman" w:hAnsi="Times New Roman" w:eastAsia="方正仿宋_GBK" w:cs="Times New Roman"/>
          <w:sz w:val="32"/>
          <w:szCs w:val="32"/>
          <w:highlight w:val="none"/>
          <w:lang w:val="en-US" w:eastAsia="zh-CN"/>
        </w:rPr>
        <w:t>提前转款。</w:t>
      </w:r>
      <w:r>
        <w:rPr>
          <w:rFonts w:ascii="Times New Roman" w:hAnsi="Times New Roman" w:eastAsia="方正仿宋_GBK" w:cs="Times New Roman"/>
          <w:color w:val="000000"/>
          <w:sz w:val="32"/>
          <w:szCs w:val="32"/>
          <w:highlight w:val="none"/>
        </w:rPr>
        <w:t>竞买保证金缴入以下任一账户：</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1.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行：中国农业银行股份有限公司资阳分行</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号：22735001040027708</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2.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行：中国工商银行股份有限公司资阳和平路支行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2307488309026431514</w:t>
      </w:r>
    </w:p>
    <w:p>
      <w:pPr>
        <w:widowControl/>
        <w:spacing w:line="600" w:lineRule="exact"/>
        <w:ind w:right="-115" w:rightChars="-55" w:firstLine="640" w:firstLineChars="200"/>
        <w:rPr>
          <w:rFonts w:ascii="Times New Roman" w:hAnsi="Times New Roman" w:eastAsia="方正仿宋_GBK" w:cs="Times New Roman"/>
          <w:color w:val="auto"/>
          <w:spacing w:val="-6"/>
          <w:sz w:val="32"/>
          <w:szCs w:val="32"/>
          <w:highlight w:val="none"/>
        </w:rPr>
      </w:pPr>
      <w:r>
        <w:rPr>
          <w:rFonts w:ascii="Times New Roman" w:hAnsi="Times New Roman" w:eastAsia="方正仿宋_GBK" w:cs="Times New Roman"/>
          <w:color w:val="auto"/>
          <w:sz w:val="32"/>
          <w:szCs w:val="32"/>
          <w:highlight w:val="none"/>
        </w:rPr>
        <w:t xml:space="preserve">3. </w:t>
      </w:r>
      <w:r>
        <w:rPr>
          <w:rFonts w:ascii="Times New Roman" w:hAnsi="Times New Roman" w:eastAsia="方正仿宋_GBK" w:cs="Times New Roman"/>
          <w:color w:val="auto"/>
          <w:spacing w:val="-6"/>
          <w:sz w:val="32"/>
          <w:szCs w:val="32"/>
          <w:highlight w:val="none"/>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开 户 行： 绵阳市商业银行股份有限公司资阳分行</w:t>
      </w:r>
    </w:p>
    <w:p>
      <w:pPr>
        <w:spacing w:line="600" w:lineRule="exact"/>
        <w:ind w:firstLine="640" w:firstLineChars="200"/>
        <w:rPr>
          <w:rFonts w:ascii="Times New Roman" w:hAnsi="Times New Roman" w:eastAsia="方正仿宋_GBK" w:cs="Times New Roman"/>
          <w:color w:val="auto"/>
          <w:sz w:val="32"/>
          <w:szCs w:val="32"/>
          <w:highlight w:val="none"/>
        </w:rPr>
      </w:pPr>
      <w:r>
        <w:rPr>
          <w:rFonts w:ascii="Times New Roman" w:hAnsi="Times New Roman" w:eastAsia="方正仿宋_GBK" w:cs="Times New Roman"/>
          <w:color w:val="auto"/>
          <w:sz w:val="32"/>
          <w:szCs w:val="32"/>
          <w:highlight w:val="none"/>
        </w:rPr>
        <w:t>账    号：60001100000530</w:t>
      </w:r>
    </w:p>
    <w:p>
      <w:pPr>
        <w:widowControl/>
        <w:spacing w:line="600" w:lineRule="exact"/>
        <w:ind w:right="-115" w:rightChars="-55" w:firstLine="640" w:firstLineChars="200"/>
        <w:rPr>
          <w:rFonts w:ascii="Times New Roman" w:hAnsi="Times New Roman" w:eastAsia="方正仿宋_GBK" w:cs="Times New Roman"/>
          <w:color w:val="000000" w:themeColor="text1"/>
          <w:spacing w:val="-6"/>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4. </w:t>
      </w:r>
      <w:r>
        <w:rPr>
          <w:rFonts w:ascii="Times New Roman" w:hAnsi="Times New Roman" w:eastAsia="方正仿宋_GBK" w:cs="Times New Roman"/>
          <w:color w:val="000000" w:themeColor="text1"/>
          <w:spacing w:val="-6"/>
          <w:sz w:val="32"/>
          <w:szCs w:val="32"/>
          <w:highlight w:val="none"/>
          <w14:textFill>
            <w14:solidFill>
              <w14:schemeClr w14:val="tx1"/>
            </w14:solidFill>
          </w14:textFill>
        </w:rPr>
        <w:t>开户单位：资阳市政府政务服务和公共资源交易服务中心</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开 户 行： 资阳农村商业银行股份有限公司</w:t>
      </w:r>
    </w:p>
    <w:p>
      <w:pPr>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账    号：80500120000037593</w:t>
      </w:r>
    </w:p>
    <w:p>
      <w:pPr>
        <w:widowControl/>
        <w:spacing w:line="600" w:lineRule="exact"/>
        <w:ind w:firstLine="642" w:firstLineChars="200"/>
        <w:rPr>
          <w:rFonts w:ascii="Times New Roman" w:hAnsi="Times New Roman" w:eastAsia="方正仿宋_GBK" w:cs="Times New Roman"/>
          <w:b/>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
          <w:color w:val="000000" w:themeColor="text1"/>
          <w:sz w:val="32"/>
          <w:szCs w:val="32"/>
          <w:highlight w:val="none"/>
          <w14:textFill>
            <w14:solidFill>
              <w14:schemeClr w14:val="tx1"/>
            </w14:solidFill>
          </w14:textFill>
        </w:rPr>
        <w:t>五、申请和资格审查</w:t>
      </w:r>
    </w:p>
    <w:p>
      <w:pPr>
        <w:widowControl/>
        <w:spacing w:line="600" w:lineRule="exact"/>
        <w:ind w:firstLine="642"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（一）拍卖文件取得</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申请人需在资阳市自然资源和规划局网站（http://szrzyj.ziyang.gov.cn/）、全国公共资源交易平台（四川省·资阳市）（http://ggzyjyzx.ziyang.gov.cn）下载拍卖出让文件资料，拍卖出让文件具体包括：</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1. </w:t>
      </w:r>
      <w:r>
        <w:rPr>
          <w:rFonts w:ascii="Times New Roman" w:hAnsi="Times New Roman" w:eastAsia="方正仿宋_GBK" w:cs="Times New Roman"/>
          <w:color w:val="000000" w:themeColor="text1"/>
          <w:sz w:val="32"/>
          <w:szCs w:val="32"/>
          <w:highlight w:val="none"/>
          <w14:textFill>
            <w14:solidFill>
              <w14:schemeClr w14:val="tx1"/>
            </w14:solidFill>
          </w14:textFill>
        </w:rPr>
        <w:t>拍卖出让公告；</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拍卖出让须知；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用地勘测定界图；</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地块规划条件；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竞买申请书（样本）；</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rPr>
        <w:t>6</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ascii="Times New Roman" w:hAnsi="Times New Roman" w:eastAsia="方正仿宋_GBK" w:cs="Times New Roman"/>
          <w:bCs/>
          <w:spacing w:val="28"/>
          <w:sz w:val="32"/>
          <w:szCs w:val="32"/>
          <w:highlight w:val="none"/>
        </w:rPr>
        <w:t>《</w:t>
      </w:r>
      <w:r>
        <w:rPr>
          <w:rFonts w:hint="eastAsia" w:ascii="Times New Roman" w:hAnsi="Times New Roman" w:eastAsia="方正仿宋_GBK" w:cs="Times New Roman"/>
          <w:bCs/>
          <w:spacing w:val="28"/>
          <w:sz w:val="32"/>
          <w:szCs w:val="32"/>
          <w:highlight w:val="none"/>
          <w:lang w:eastAsia="zh-CN"/>
        </w:rPr>
        <w:t>承诺书</w:t>
      </w:r>
      <w:r>
        <w:rPr>
          <w:rFonts w:ascii="Times New Roman" w:hAnsi="Times New Roman" w:eastAsia="方正仿宋_GBK" w:cs="Times New Roman"/>
          <w:bCs/>
          <w:spacing w:val="28"/>
          <w:sz w:val="32"/>
          <w:szCs w:val="32"/>
          <w:highlight w:val="none"/>
        </w:rPr>
        <w:t>》（样本）</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spacing w:line="600" w:lineRule="exact"/>
        <w:ind w:firstLine="640" w:firstLineChars="200"/>
        <w:rPr>
          <w:rFonts w:hint="eastAsia"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7</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hint="eastAsia" w:ascii="Times New Roman" w:hAnsi="Times New Roman" w:eastAsia="方正仿宋_GBK" w:cs="Times New Roman"/>
          <w:bCs/>
          <w:spacing w:val="20"/>
          <w:sz w:val="32"/>
          <w:szCs w:val="32"/>
          <w:highlight w:val="none"/>
          <w:lang w:val="en-US" w:eastAsia="zh-CN"/>
        </w:rPr>
        <w:t>《授权委托书》（样本）</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spacing w:line="600" w:lineRule="exact"/>
        <w:ind w:firstLine="640" w:firstLineChars="200"/>
        <w:rPr>
          <w:rFonts w:ascii="Times New Roman" w:hAnsi="Times New Roman" w:eastAsia="方正仿宋_GBK" w:cs="Times New Roman"/>
          <w:bCs/>
          <w:sz w:val="32"/>
          <w:szCs w:val="32"/>
          <w:highlight w:val="none"/>
        </w:rPr>
      </w:pPr>
      <w:r>
        <w:rPr>
          <w:rFonts w:hint="eastAsia" w:ascii="Times New Roman" w:hAnsi="Times New Roman" w:eastAsia="方正仿宋_GBK" w:cs="Times New Roman"/>
          <w:bCs/>
          <w:sz w:val="32"/>
          <w:szCs w:val="32"/>
          <w:highlight w:val="none"/>
          <w:lang w:val="en-US" w:eastAsia="zh-CN"/>
        </w:rPr>
        <w:t>8</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ascii="Times New Roman" w:hAnsi="Times New Roman" w:eastAsia="方正仿宋_GBK" w:cs="Times New Roman"/>
          <w:bCs/>
          <w:spacing w:val="28"/>
          <w:sz w:val="32"/>
          <w:szCs w:val="32"/>
          <w:highlight w:val="none"/>
        </w:rPr>
        <w:t>《成交确认书》（样本）</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bCs/>
          <w:sz w:val="32"/>
          <w:szCs w:val="32"/>
          <w:highlight w:val="none"/>
          <w:lang w:val="en-US" w:eastAsia="zh-CN"/>
        </w:rPr>
        <w:t>9</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hint="eastAsia" w:ascii="Times New Roman" w:hAnsi="Times New Roman" w:eastAsia="方正仿宋_GBK" w:cs="Times New Roman"/>
          <w:bCs/>
          <w:spacing w:val="20"/>
          <w:sz w:val="32"/>
          <w:szCs w:val="32"/>
          <w:highlight w:val="none"/>
          <w:lang w:val="en-US" w:eastAsia="zh-CN"/>
        </w:rPr>
        <w:t>《联合竞买土地协议》（样本）</w:t>
      </w: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w:t>
      </w: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 </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10</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《国有建设用地使用权出让合同》（样本）；</w:t>
      </w:r>
    </w:p>
    <w:p>
      <w:pPr>
        <w:widowControl/>
        <w:spacing w:line="600" w:lineRule="exact"/>
        <w:ind w:firstLine="720" w:firstLineChars="25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11</w:t>
      </w:r>
      <w:r>
        <w:rPr>
          <w:rFonts w:hint="eastAsia" w:ascii="Times New Roman" w:hAnsi="Times New Roman" w:eastAsia="方正仿宋_GBK" w:cs="Times New Roman"/>
          <w:color w:val="000000" w:themeColor="text1"/>
          <w:spacing w:val="-16"/>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国有建设用地使用权出让合同（示范文本）部分条款释义；</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12</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  建设项目用地信息公示牌（模板）；</w:t>
      </w:r>
    </w:p>
    <w:p>
      <w:pPr>
        <w:widowControl/>
        <w:spacing w:line="600" w:lineRule="exact"/>
        <w:ind w:firstLine="720" w:firstLineChars="250"/>
        <w:rPr>
          <w:rFonts w:ascii="Times New Roman" w:hAnsi="Times New Roman" w:eastAsia="方正仿宋_GBK" w:cs="Times New Roman"/>
          <w:color w:val="000000" w:themeColor="text1"/>
          <w:spacing w:val="-16"/>
          <w:sz w:val="32"/>
          <w:szCs w:val="32"/>
          <w:highlight w:val="none"/>
          <w14:textFill>
            <w14:solidFill>
              <w14:schemeClr w14:val="tx1"/>
            </w14:solidFill>
          </w14:textFill>
        </w:rPr>
      </w:pP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3</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 建设项目动工申报书（样本）；</w:t>
      </w:r>
    </w:p>
    <w:p>
      <w:pPr>
        <w:widowControl/>
        <w:spacing w:line="600" w:lineRule="exact"/>
        <w:ind w:firstLine="720" w:firstLineChars="25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pacing w:val="-16"/>
          <w:sz w:val="32"/>
          <w:szCs w:val="32"/>
          <w:highlight w:val="none"/>
          <w:lang w:val="en-US" w:eastAsia="zh-CN"/>
          <w14:textFill>
            <w14:solidFill>
              <w14:schemeClr w14:val="tx1"/>
            </w14:solidFill>
          </w14:textFill>
        </w:rPr>
        <w:t>4</w:t>
      </w:r>
      <w:r>
        <w:rPr>
          <w:rFonts w:ascii="Times New Roman" w:hAnsi="Times New Roman" w:eastAsia="方正仿宋_GBK" w:cs="Times New Roman"/>
          <w:color w:val="000000" w:themeColor="text1"/>
          <w:spacing w:val="-16"/>
          <w:sz w:val="32"/>
          <w:szCs w:val="32"/>
          <w:highlight w:val="none"/>
          <w14:textFill>
            <w14:solidFill>
              <w14:schemeClr w14:val="tx1"/>
            </w14:solidFill>
          </w14:textFill>
        </w:rPr>
        <w:t>. 建设项目竣工申报书（样本）。</w:t>
      </w:r>
    </w:p>
    <w:p>
      <w:pPr>
        <w:spacing w:line="600" w:lineRule="exact"/>
        <w:ind w:firstLine="642" w:firstLineChars="200"/>
        <w:rPr>
          <w:rFonts w:ascii="Times New Roman" w:hAnsi="Times New Roman" w:eastAsia="方正仿宋_GBK" w:cs="Times New Roman"/>
          <w:b/>
          <w:color w:val="000000" w:themeColor="text1"/>
          <w:sz w:val="32"/>
          <w:szCs w:val="32"/>
          <w:highlight w:val="none"/>
          <w14:textFill>
            <w14:solidFill>
              <w14:schemeClr w14:val="tx1"/>
            </w14:solidFill>
          </w14:textFill>
        </w:rPr>
      </w:pPr>
      <w:r>
        <w:rPr>
          <w:rFonts w:hint="eastAsia" w:ascii="方正楷体_GBK" w:hAnsi="Times New Roman" w:eastAsia="方正楷体_GBK" w:cs="Times New Roman"/>
          <w:b/>
          <w:bCs/>
          <w:sz w:val="32"/>
          <w:szCs w:val="32"/>
          <w:highlight w:val="none"/>
        </w:rPr>
        <w:t>（二）网上提交报名申请</w:t>
      </w:r>
    </w:p>
    <w:p>
      <w:pPr>
        <w:widowControl/>
        <w:spacing w:line="600" w:lineRule="exact"/>
        <w:ind w:firstLine="640" w:firstLineChars="200"/>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t>申请人可于</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2023年5月9日</w:t>
      </w:r>
      <w:r>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t>至</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2023年5月29日16:00时</w:t>
      </w:r>
      <w:r>
        <w:rPr>
          <w:rFonts w:hint="eastAsia" w:ascii="Times New Roman" w:hAnsi="Times New Roman" w:eastAsia="方正仿宋_GBK" w:cs="Times New Roman"/>
          <w:color w:val="000000" w:themeColor="text1"/>
          <w:sz w:val="32"/>
          <w:szCs w:val="32"/>
          <w:highlight w:val="none"/>
          <w:u w:val="none"/>
          <w:lang w:val="en-US" w:eastAsia="zh-CN"/>
          <w14:textFill>
            <w14:solidFill>
              <w14:schemeClr w14:val="tx1"/>
            </w14:solidFill>
          </w14:textFill>
        </w:rPr>
        <w:t>止登陆全国公共资源交易平台（四川省·资阳市）（http://ggzyjyzx.ziyang.gov.cn）提交报名申请所需相关资料。申请所需文件包括：</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1．法人申请的，应提交下列文件：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（2）法人单位有效证明文件（企业营业执照复印件</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（3）如公司成立股东会【或董事会】则须出具</w:t>
      </w:r>
      <w:r>
        <w:rPr>
          <w:rFonts w:hint="eastAsia" w:ascii="Times New Roman" w:hAnsi="Times New Roman" w:eastAsia="方正仿宋_GBK" w:cs="Times New Roman"/>
          <w:color w:val="000000" w:themeColor="text1"/>
          <w:sz w:val="32"/>
          <w:szCs w:val="32"/>
          <w:highlight w:val="none"/>
          <w:lang w:eastAsia="zh-CN"/>
          <w14:textFill>
            <w14:solidFill>
              <w14:schemeClr w14:val="tx1"/>
            </w14:solidFill>
          </w14:textFill>
        </w:rPr>
        <w:t>所</w:t>
      </w:r>
      <w:r>
        <w:rPr>
          <w:rFonts w:ascii="Times New Roman" w:hAnsi="Times New Roman" w:eastAsia="方正仿宋_GBK" w:cs="Times New Roman"/>
          <w:color w:val="000000" w:themeColor="text1"/>
          <w:sz w:val="32"/>
          <w:szCs w:val="32"/>
          <w:highlight w:val="none"/>
          <w14:textFill>
            <w14:solidFill>
              <w14:schemeClr w14:val="tx1"/>
            </w14:solidFill>
          </w14:textFill>
        </w:rPr>
        <w:t>有股东【或董事】签名的股东会【或董事会】决议，并加盖公章；</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4</w:t>
      </w:r>
      <w:r>
        <w:rPr>
          <w:rFonts w:ascii="Times New Roman" w:hAnsi="Times New Roman" w:eastAsia="方正仿宋_GBK" w:cs="Times New Roman"/>
          <w:color w:val="000000" w:themeColor="text1"/>
          <w:sz w:val="32"/>
          <w:szCs w:val="32"/>
          <w:highlight w:val="none"/>
          <w14:textFill>
            <w14:solidFill>
              <w14:schemeClr w14:val="tx1"/>
            </w14:solidFill>
          </w14:textFill>
        </w:rPr>
        <w:t>）法定代表人的有效身份证明文件；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6</w:t>
      </w:r>
      <w:r>
        <w:rPr>
          <w:rFonts w:ascii="Times New Roman" w:hAnsi="Times New Roman" w:eastAsia="方正仿宋_GBK" w:cs="Times New Roman"/>
          <w:color w:val="000000" w:themeColor="text1"/>
          <w:sz w:val="32"/>
          <w:szCs w:val="32"/>
          <w:highlight w:val="none"/>
          <w14:textFill>
            <w14:solidFill>
              <w14:schemeClr w14:val="tx1"/>
            </w14:solidFill>
          </w14:textFill>
        </w:rPr>
        <w:t>）竞买保证金交纳凭证；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7</w:t>
      </w: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8</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2．自然人申请的，应提交下列文件：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（2）申请人有效身份证明文件；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6</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3．其他组织申请的，应提交下列文件：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（2）表明该组织合法存在的文件或有效证明；</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（3）表明该组织负责人身份的有效证明文件；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（4）申请人委托他人办理的，应提交授权委托书及委托代理人的身份证明文件；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（6）</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7</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4．境外申请人申请的，应提交下列文件：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（1）申请书；</w:t>
      </w:r>
    </w:p>
    <w:p>
      <w:pPr>
        <w:widowControl/>
        <w:spacing w:line="600" w:lineRule="exact"/>
        <w:ind w:firstLine="608" w:firstLineChars="200"/>
        <w:rPr>
          <w:rFonts w:ascii="Times New Roman" w:hAnsi="Times New Roman" w:eastAsia="方正仿宋_GBK" w:cs="Times New Roman"/>
          <w:color w:val="000000" w:themeColor="text1"/>
          <w:w w:val="95"/>
          <w:sz w:val="32"/>
          <w:szCs w:val="32"/>
          <w:highlight w:val="none"/>
          <w14:textFill>
            <w14:solidFill>
              <w14:schemeClr w14:val="tx1"/>
            </w14:solidFill>
          </w14:textFill>
        </w:rPr>
      </w:pPr>
      <w:r>
        <w:rPr>
          <w:rFonts w:ascii="Times New Roman" w:hAnsi="Times New Roman" w:eastAsia="方正仿宋_GBK" w:cs="Times New Roman"/>
          <w:color w:val="000000" w:themeColor="text1"/>
          <w:w w:val="95"/>
          <w:sz w:val="32"/>
          <w:szCs w:val="32"/>
          <w:highlight w:val="none"/>
          <w14:textFill>
            <w14:solidFill>
              <w14:schemeClr w14:val="tx1"/>
            </w14:solidFill>
          </w14:textFill>
        </w:rPr>
        <w:t>（2）境外法人、自然人、其他组织的有效身份证明文件；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（4）竞买保证金交纳凭证；</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6</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上述文件中，申请书必须用中文书写，其他文件可以使用其他语言，但必须附中文译本，所有文件的解释以中文译本为准。</w:t>
      </w:r>
    </w:p>
    <w:p>
      <w:pPr>
        <w:widowControl/>
        <w:spacing w:line="600" w:lineRule="exact"/>
        <w:ind w:firstLine="642" w:firstLineChars="200"/>
        <w:rPr>
          <w:rFonts w:ascii="Times New Roman" w:hAnsi="Times New Roman" w:eastAsia="方正仿宋_GBK" w:cs="Times New Roman"/>
          <w:b/>
          <w:bCs/>
          <w:color w:val="000000" w:themeColor="text1"/>
          <w:sz w:val="32"/>
          <w:szCs w:val="32"/>
          <w:highlight w:val="none"/>
          <w14:textFill>
            <w14:solidFill>
              <w14:schemeClr w14:val="tx1"/>
            </w14:solidFill>
          </w14:textFill>
        </w:rPr>
      </w:pPr>
      <w:r>
        <w:rPr>
          <w:rFonts w:ascii="Times New Roman" w:hAnsi="Times New Roman" w:eastAsia="方正仿宋_GBK" w:cs="Times New Roman"/>
          <w:b/>
          <w:bCs/>
          <w:color w:val="000000" w:themeColor="text1"/>
          <w:sz w:val="32"/>
          <w:szCs w:val="32"/>
          <w:highlight w:val="none"/>
          <w14:textFill>
            <w14:solidFill>
              <w14:schemeClr w14:val="tx1"/>
            </w14:solidFill>
          </w14:textFill>
        </w:rPr>
        <w:t>5．联合申请的，应提交下列文件：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（1）联合申请各方共同签署的申请书；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（2）联合申请各方的有效身份证明文件；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（3）提交包含有联合各方的出资比例、签订《出让合同》时的受让人、</w:t>
      </w:r>
      <w:r>
        <w:rPr>
          <w:rFonts w:ascii="Times New Roman" w:hAnsi="Times New Roman" w:eastAsia="方正仿宋_GBK" w:cs="Times New Roman"/>
          <w:color w:val="000000" w:themeColor="text1"/>
          <w:kern w:val="0"/>
          <w:sz w:val="32"/>
          <w:szCs w:val="32"/>
          <w:highlight w:val="none"/>
          <w14:textFill>
            <w14:solidFill>
              <w14:schemeClr w14:val="tx1"/>
            </w14:solidFill>
          </w14:textFill>
        </w:rPr>
        <w:t>明确联合各方的权利和义务等内容的《联合竞买协议》</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（4）申请人委托他人办理的，应提交授权委托书及委托代理人的有效身份证明文件；</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（5）竞买保证金交纳凭证</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（6）</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申请人拟在竞得土地后成立新公司进行开发建设的，须提前在四川政务服务网名称申报系统进行企业名称自主申报，</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在</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提交竞买</w:t>
      </w:r>
      <w:r>
        <w:rPr>
          <w:rFonts w:hint="eastAsia" w:ascii="方正楷体_GBK" w:hAnsi="方正楷体_GBK" w:eastAsia="方正楷体_GBK" w:cs="方正楷体_GBK"/>
          <w:b/>
          <w:bCs/>
          <w:color w:val="000000" w:themeColor="text1"/>
          <w:sz w:val="32"/>
          <w:szCs w:val="32"/>
          <w:highlight w:val="none"/>
          <w:shd w:val="clear" w:color="auto" w:fill="FFFFFF"/>
          <w14:textFill>
            <w14:solidFill>
              <w14:schemeClr w14:val="tx1"/>
            </w14:solidFill>
          </w14:textFill>
        </w:rPr>
        <w:t>申请书时予以明确，并</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提供网上申报资料；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7</w:t>
      </w:r>
      <w:r>
        <w:rPr>
          <w:rFonts w:ascii="Times New Roman" w:hAnsi="Times New Roman" w:eastAsia="方正仿宋_GBK" w:cs="Times New Roman"/>
          <w:color w:val="000000" w:themeColor="text1"/>
          <w:sz w:val="32"/>
          <w:szCs w:val="32"/>
          <w:highlight w:val="none"/>
          <w14:textFill>
            <w14:solidFill>
              <w14:schemeClr w14:val="tx1"/>
            </w14:solidFill>
          </w14:textFill>
        </w:rPr>
        <w:t>）拍卖文件规定需要提交的其他文件。</w:t>
      </w:r>
    </w:p>
    <w:p>
      <w:pPr>
        <w:widowControl/>
        <w:spacing w:line="600" w:lineRule="exact"/>
        <w:ind w:firstLine="642" w:firstLineChars="200"/>
        <w:rPr>
          <w:rFonts w:ascii="方正楷体_GBK" w:hAnsi="方正楷体_GBK" w:eastAsia="方正楷体_GBK" w:cs="方正楷体_GBK"/>
          <w:b/>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color w:val="000000" w:themeColor="text1"/>
          <w:sz w:val="32"/>
          <w:szCs w:val="32"/>
          <w:highlight w:val="none"/>
          <w14:textFill>
            <w14:solidFill>
              <w14:schemeClr w14:val="tx1"/>
            </w14:solidFill>
          </w14:textFill>
        </w:rPr>
        <w:t>（三）竞买资格审查</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负责对拍卖出让公告规定的时间内收到的申请进行审查。按规定交纳竞买保证金，通过资格审查的，方能取得竞买资格。</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经审查，有下列情形之一的，为无效申请：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1．申请人不具备竞买资格的；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2．未按规定交纳竞买保证金的；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3．申请文件不齐全或不符合规定的；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4．委托他人代理，委托文件不齐全或不符合规定的；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5．法律法规规定的其他情形。</w:t>
      </w:r>
    </w:p>
    <w:p>
      <w:pPr>
        <w:widowControl/>
        <w:spacing w:line="600" w:lineRule="exact"/>
        <w:ind w:firstLine="642" w:firstLineChars="200"/>
        <w:rPr>
          <w:rFonts w:ascii="方正楷体_GBK" w:hAnsi="方正楷体_GBK" w:eastAsia="方正楷体_GBK" w:cs="方正楷体_GBK"/>
          <w:b/>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color w:val="000000" w:themeColor="text1"/>
          <w:sz w:val="32"/>
          <w:szCs w:val="32"/>
          <w:highlight w:val="none"/>
          <w14:textFill>
            <w14:solidFill>
              <w14:schemeClr w14:val="tx1"/>
            </w14:solidFill>
          </w14:textFill>
        </w:rPr>
        <w:t>（四）确认竞买人资格</w:t>
      </w:r>
    </w:p>
    <w:p>
      <w:pPr>
        <w:spacing w:line="620" w:lineRule="exact"/>
        <w:ind w:firstLine="640" w:firstLineChars="200"/>
        <w:rPr>
          <w:rFonts w:ascii="Times New Roman" w:hAnsi="Times New Roman" w:eastAsia="方正仿宋_GBK"/>
          <w:sz w:val="32"/>
          <w:szCs w:val="32"/>
          <w:highlight w:val="none"/>
        </w:rPr>
      </w:pPr>
      <w:r>
        <w:rPr>
          <w:rFonts w:ascii="Times New Roman" w:hAnsi="Times New Roman" w:eastAsia="方正仿宋_GBK" w:cs="Times New Roman"/>
          <w:color w:val="000000" w:themeColor="text1"/>
          <w:sz w:val="32"/>
          <w:szCs w:val="32"/>
          <w:highlight w:val="none"/>
          <w14:textFill>
            <w14:solidFill>
              <w14:schemeClr w14:val="tx1"/>
            </w14:solidFill>
          </w14:textFill>
        </w:rPr>
        <w:t>经审查，申请人按规定交纳竞买保证金、具备申请条件的，</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将在</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29</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 xml:space="preserve">17 </w:t>
      </w:r>
      <w:r>
        <w:rPr>
          <w:rFonts w:ascii="Times New Roman" w:hAnsi="Times New Roman" w:eastAsia="方正仿宋_GBK" w:cs="Times New Roman"/>
          <w:color w:val="000000" w:themeColor="text1"/>
          <w:sz w:val="32"/>
          <w:szCs w:val="32"/>
          <w:highlight w:val="none"/>
          <w14:textFill>
            <w14:solidFill>
              <w14:schemeClr w14:val="tx1"/>
            </w14:solidFill>
          </w14:textFill>
        </w:rPr>
        <w:t>时</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0</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0</w:t>
      </w:r>
      <w:r>
        <w:rPr>
          <w:rFonts w:ascii="Times New Roman" w:hAnsi="Times New Roman" w:eastAsia="方正仿宋_GBK" w:cs="Times New Roman"/>
          <w:color w:val="000000" w:themeColor="text1"/>
          <w:sz w:val="32"/>
          <w:szCs w:val="32"/>
          <w:highlight w:val="none"/>
          <w14:textFill>
            <w14:solidFill>
              <w14:schemeClr w14:val="tx1"/>
            </w14:solidFill>
          </w14:textFill>
        </w:rPr>
        <w:t>分前</w:t>
      </w:r>
      <w:r>
        <w:rPr>
          <w:rFonts w:ascii="Times New Roman" w:hAnsi="Times New Roman" w:eastAsia="方正仿宋_GBK" w:cs="Times New Roman"/>
          <w:sz w:val="32"/>
          <w:szCs w:val="32"/>
          <w:highlight w:val="none"/>
        </w:rPr>
        <w:t>确认</w:t>
      </w:r>
      <w:r>
        <w:rPr>
          <w:rFonts w:hint="eastAsia" w:ascii="Times New Roman" w:hAnsi="Times New Roman" w:eastAsia="方正仿宋_GBK" w:cs="Times New Roman"/>
          <w:sz w:val="32"/>
          <w:szCs w:val="32"/>
          <w:highlight w:val="none"/>
          <w:lang w:eastAsia="zh-CN"/>
        </w:rPr>
        <w:t>其竞买资格</w:t>
      </w:r>
      <w:r>
        <w:rPr>
          <w:rFonts w:ascii="Times New Roman" w:hAnsi="Times New Roman" w:eastAsia="方正仿宋_GBK" w:cs="Times New Roman"/>
          <w:sz w:val="32"/>
          <w:szCs w:val="32"/>
          <w:highlight w:val="none"/>
        </w:rPr>
        <w:t>，</w:t>
      </w:r>
      <w:r>
        <w:rPr>
          <w:rFonts w:hint="eastAsia" w:ascii="Times New Roman" w:hAnsi="Times New Roman" w:eastAsia="方正仿宋_GBK" w:cs="Times New Roman"/>
          <w:sz w:val="32"/>
          <w:szCs w:val="32"/>
          <w:highlight w:val="none"/>
          <w:lang w:eastAsia="zh-CN"/>
        </w:rPr>
        <w:t>申请人</w:t>
      </w:r>
      <w:r>
        <w:rPr>
          <w:rFonts w:ascii="Times New Roman" w:hAnsi="Times New Roman" w:eastAsia="方正仿宋_GBK" w:cs="Times New Roman"/>
          <w:sz w:val="32"/>
          <w:szCs w:val="32"/>
          <w:highlight w:val="none"/>
        </w:rPr>
        <w:t>可</w:t>
      </w:r>
      <w:r>
        <w:rPr>
          <w:rFonts w:hint="eastAsia" w:ascii="Times New Roman" w:hAnsi="Times New Roman" w:eastAsia="方正仿宋_GBK" w:cs="Times New Roman"/>
          <w:sz w:val="32"/>
          <w:szCs w:val="32"/>
          <w:highlight w:val="none"/>
          <w:lang w:eastAsia="zh-CN"/>
        </w:rPr>
        <w:t>在报名界面查看报名审核结果，</w:t>
      </w:r>
      <w:r>
        <w:rPr>
          <w:rFonts w:ascii="Times New Roman" w:hAnsi="Times New Roman" w:eastAsia="方正仿宋_GBK" w:cs="Times New Roman"/>
          <w:sz w:val="32"/>
          <w:szCs w:val="32"/>
          <w:highlight w:val="none"/>
        </w:rPr>
        <w:t>经确认具备竞买资格的申请人，</w:t>
      </w:r>
      <w:r>
        <w:rPr>
          <w:rFonts w:hint="eastAsia" w:ascii="Times New Roman" w:hAnsi="Times New Roman" w:eastAsia="方正仿宋_GBK"/>
          <w:b/>
          <w:bCs w:val="0"/>
          <w:kern w:val="0"/>
          <w:sz w:val="32"/>
          <w:szCs w:val="32"/>
          <w:highlight w:val="none"/>
          <w:lang w:eastAsia="zh-CN"/>
        </w:rPr>
        <w:t>请务必携带竞买申请书、公章及相关报名资料，</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于</w:t>
      </w:r>
      <w:r>
        <w:rPr>
          <w:rFonts w:ascii="Times New Roman" w:hAnsi="Times New Roman" w:eastAsia="方正仿宋_GBK" w:cs="Times New Roman"/>
          <w:color w:val="000000" w:themeColor="text1"/>
          <w:sz w:val="32"/>
          <w:szCs w:val="32"/>
          <w:highlight w:val="none"/>
          <w:u w:val="single" w:color="000000"/>
          <w14:textFill>
            <w14:solidFill>
              <w14:schemeClr w14:val="tx1"/>
            </w14:solidFill>
          </w14:textFill>
        </w:rPr>
        <w:t>20</w:t>
      </w:r>
      <w:r>
        <w:rPr>
          <w:rFonts w:hint="eastAsia" w:ascii="Times New Roman" w:hAnsi="Times New Roman" w:eastAsia="方正仿宋_GBK" w:cs="Times New Roman"/>
          <w:color w:val="000000" w:themeColor="text1"/>
          <w:sz w:val="32"/>
          <w:szCs w:val="32"/>
          <w:highlight w:val="none"/>
          <w:u w:val="single" w:color="000000"/>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30</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r>
        <w:rPr>
          <w:rFonts w:hint="eastAsia" w:ascii="Times New Roman" w:hAnsi="Times New Roman" w:eastAsia="方正仿宋_GBK" w:cs="Times New Roman"/>
          <w:color w:val="000000" w:themeColor="text1"/>
          <w:sz w:val="32"/>
          <w:szCs w:val="32"/>
          <w:highlight w:val="none"/>
          <w:u w:val="single" w:color="000000"/>
          <w:lang w:val="en-US" w:eastAsia="zh-CN"/>
          <w14:textFill>
            <w14:solidFill>
              <w14:schemeClr w14:val="tx1"/>
            </w14:solidFill>
          </w14:textFill>
        </w:rPr>
        <w:t>14</w:t>
      </w:r>
      <w:r>
        <w:rPr>
          <w:rFonts w:ascii="Times New Roman" w:hAnsi="Times New Roman" w:eastAsia="方正仿宋_GBK" w:cs="Times New Roman"/>
          <w:color w:val="000000" w:themeColor="text1"/>
          <w:sz w:val="32"/>
          <w:szCs w:val="32"/>
          <w:highlight w:val="none"/>
          <w14:textFill>
            <w14:solidFill>
              <w14:schemeClr w14:val="tx1"/>
            </w14:solidFill>
          </w14:textFill>
        </w:rPr>
        <w:t>时</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30分</w:t>
      </w:r>
      <w:r>
        <w:rPr>
          <w:rFonts w:ascii="Times New Roman" w:hAnsi="Times New Roman" w:eastAsia="方正仿宋_GBK" w:cs="Times New Roman"/>
          <w:color w:val="000000" w:themeColor="text1"/>
          <w:sz w:val="32"/>
          <w:szCs w:val="32"/>
          <w:highlight w:val="none"/>
          <w14:textFill>
            <w14:solidFill>
              <w14:schemeClr w14:val="tx1"/>
            </w14:solidFill>
          </w14:textFill>
        </w:rPr>
        <w:t>在成都市公共资源交易服务中心（地址：成都市高新区天府大道北段966号天府国际金融中心7号楼）</w:t>
      </w:r>
      <w:r>
        <w:rPr>
          <w:rFonts w:ascii="Times New Roman" w:hAnsi="Times New Roman" w:eastAsia="方正仿宋_GBK" w:cs="Times New Roman"/>
          <w:sz w:val="32"/>
          <w:szCs w:val="32"/>
          <w:highlight w:val="none"/>
        </w:rPr>
        <w:t>参加本次</w:t>
      </w:r>
      <w:r>
        <w:rPr>
          <w:rFonts w:ascii="Times New Roman" w:hAnsi="Times New Roman" w:eastAsia="方正仿宋_GBK" w:cs="Times New Roman"/>
          <w:color w:val="000000" w:themeColor="text1"/>
          <w:sz w:val="32"/>
          <w:szCs w:val="32"/>
          <w:highlight w:val="none"/>
          <w14:textFill>
            <w14:solidFill>
              <w14:schemeClr w14:val="tx1"/>
            </w14:solidFill>
          </w14:textFill>
        </w:rPr>
        <w:t>拍卖会</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及现场</w:t>
      </w:r>
      <w:r>
        <w:rPr>
          <w:rFonts w:ascii="Times New Roman" w:hAnsi="Times New Roman" w:eastAsia="方正仿宋_GBK" w:cs="Times New Roman"/>
          <w:color w:val="000000" w:themeColor="text1"/>
          <w:sz w:val="32"/>
          <w:szCs w:val="32"/>
          <w:highlight w:val="none"/>
          <w14:textFill>
            <w14:solidFill>
              <w14:schemeClr w14:val="tx1"/>
            </w14:solidFill>
          </w14:textFill>
        </w:rPr>
        <w:t>领取竞买</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号</w:t>
      </w:r>
      <w:r>
        <w:rPr>
          <w:rFonts w:ascii="Times New Roman" w:hAnsi="Times New Roman" w:eastAsia="方正仿宋_GBK" w:cs="Times New Roman"/>
          <w:color w:val="000000" w:themeColor="text1"/>
          <w:sz w:val="32"/>
          <w:szCs w:val="32"/>
          <w:highlight w:val="none"/>
          <w14:textFill>
            <w14:solidFill>
              <w14:schemeClr w14:val="tx1"/>
            </w14:solidFill>
          </w14:textFill>
        </w:rPr>
        <w:t>牌</w:t>
      </w:r>
      <w:r>
        <w:rPr>
          <w:rFonts w:ascii="Times New Roman" w:hAnsi="Times New Roman" w:eastAsia="方正仿宋_GBK"/>
          <w:sz w:val="32"/>
          <w:szCs w:val="32"/>
          <w:highlight w:val="none"/>
        </w:rPr>
        <w:t>。</w:t>
      </w:r>
    </w:p>
    <w:p>
      <w:pPr>
        <w:widowControl/>
        <w:spacing w:line="600" w:lineRule="exact"/>
        <w:ind w:firstLine="642" w:firstLineChars="200"/>
        <w:rPr>
          <w:rFonts w:ascii="Times New Roman" w:hAnsi="Times New Roman" w:eastAsia="方正仿宋_GBK" w:cs="Times New Roman"/>
          <w:b/>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b/>
          <w:color w:val="000000" w:themeColor="text1"/>
          <w:sz w:val="32"/>
          <w:szCs w:val="32"/>
          <w:highlight w:val="none"/>
          <w14:textFill>
            <w14:solidFill>
              <w14:schemeClr w14:val="tx1"/>
            </w14:solidFill>
          </w14:textFill>
        </w:rPr>
        <w:t>（五）答疑及现场踏勘</w:t>
      </w:r>
    </w:p>
    <w:p>
      <w:pPr>
        <w:autoSpaceDE w:val="0"/>
        <w:spacing w:line="600" w:lineRule="exact"/>
        <w:ind w:firstLine="642" w:firstLineChars="200"/>
        <w:rPr>
          <w:b/>
          <w:bCs/>
          <w:highlight w:val="none"/>
        </w:rPr>
      </w:pPr>
      <w:r>
        <w:rPr>
          <w:rFonts w:hint="eastAsia" w:ascii="Times New Roman" w:hAnsi="Times New Roman" w:eastAsia="方正仿宋_GBK" w:cs="Times New Roman"/>
          <w:b/>
          <w:bCs/>
          <w:sz w:val="32"/>
          <w:szCs w:val="32"/>
          <w:highlight w:val="none"/>
        </w:rPr>
        <w:t>本次出让地块竞买申请人必须（务必）在拍卖出让活动开始前以书面（口头）方式申请由出让方（人）组织现场踏勘。拍卖出让活动结束后，竞买申请人未进行现场踏勘或未向出让方提出疑问的，视为对拍卖出让文件无异议，并接受拍卖出让地块现状“净地”条件，因此产生的一切责任由竞买申请人承担，出让方（人）不承担任何责任。</w:t>
      </w:r>
    </w:p>
    <w:p>
      <w:pPr>
        <w:widowControl/>
        <w:spacing w:line="600" w:lineRule="exact"/>
        <w:ind w:firstLine="640" w:firstLineChars="200"/>
        <w:rPr>
          <w:rFonts w:ascii="Times New Roman" w:hAnsi="Times New Roman" w:eastAsia="方正仿宋_GBK" w:cs="Times New Roman"/>
          <w:bCs/>
          <w:color w:val="000000" w:themeColor="text1"/>
          <w:sz w:val="32"/>
          <w:szCs w:val="32"/>
          <w:highlight w:val="none"/>
          <w14:textFill>
            <w14:solidFill>
              <w14:schemeClr w14:val="tx1"/>
            </w14:solidFill>
          </w14:textFill>
        </w:rPr>
      </w:pPr>
      <w:r>
        <w:rPr>
          <w:rFonts w:ascii="Times New Roman" w:hAnsi="Times New Roman" w:eastAsia="方正黑体_GBK" w:cs="Times New Roman"/>
          <w:bCs/>
          <w:color w:val="000000" w:themeColor="text1"/>
          <w:sz w:val="32"/>
          <w:szCs w:val="32"/>
          <w:highlight w:val="none"/>
          <w14:textFill>
            <w14:solidFill>
              <w14:schemeClr w14:val="tx1"/>
            </w14:solidFill>
          </w14:textFill>
        </w:rPr>
        <w:t>六、该地块拍卖会定于</w:t>
      </w:r>
      <w:r>
        <w:rPr>
          <w:rFonts w:ascii="Times New Roman" w:hAnsi="Times New Roman" w:eastAsia="方正黑体_GBK" w:cs="Times New Roman"/>
          <w:bCs/>
          <w:color w:val="000000" w:themeColor="text1"/>
          <w:sz w:val="32"/>
          <w:szCs w:val="32"/>
          <w:highlight w:val="none"/>
          <w:u w:val="single"/>
          <w14:textFill>
            <w14:solidFill>
              <w14:schemeClr w14:val="tx1"/>
            </w14:solidFill>
          </w14:textFill>
        </w:rPr>
        <w:t>202</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3</w:t>
      </w:r>
      <w:r>
        <w:rPr>
          <w:rFonts w:ascii="Times New Roman" w:hAnsi="Times New Roman" w:eastAsia="方正黑体_GBK" w:cs="Times New Roman"/>
          <w:bCs/>
          <w:color w:val="000000" w:themeColor="text1"/>
          <w:sz w:val="32"/>
          <w:szCs w:val="32"/>
          <w:highlight w:val="none"/>
          <w14:textFill>
            <w14:solidFill>
              <w14:schemeClr w14:val="tx1"/>
            </w14:solidFill>
          </w14:textFill>
        </w:rPr>
        <w:t xml:space="preserve">年 </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5</w:t>
      </w:r>
      <w:r>
        <w:rPr>
          <w:rFonts w:ascii="Times New Roman" w:hAnsi="Times New Roman" w:eastAsia="方正黑体_GBK" w:cs="Times New Roman"/>
          <w:bCs/>
          <w:color w:val="000000" w:themeColor="text1"/>
          <w:sz w:val="32"/>
          <w:szCs w:val="32"/>
          <w:highlight w:val="none"/>
          <w14:textFill>
            <w14:solidFill>
              <w14:schemeClr w14:val="tx1"/>
            </w14:solidFill>
          </w14:textFill>
        </w:rPr>
        <w:t>月</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30</w:t>
      </w:r>
      <w:r>
        <w:rPr>
          <w:rFonts w:ascii="Times New Roman" w:hAnsi="Times New Roman" w:eastAsia="方正黑体_GBK" w:cs="Times New Roman"/>
          <w:bCs/>
          <w:color w:val="000000" w:themeColor="text1"/>
          <w:sz w:val="32"/>
          <w:szCs w:val="32"/>
          <w:highlight w:val="none"/>
          <w14:textFill>
            <w14:solidFill>
              <w14:schemeClr w14:val="tx1"/>
            </w14:solidFill>
          </w14:textFill>
        </w:rPr>
        <w:t>日</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14</w:t>
      </w:r>
      <w:r>
        <w:rPr>
          <w:rFonts w:ascii="Times New Roman" w:hAnsi="Times New Roman" w:eastAsia="方正黑体_GBK" w:cs="Times New Roman"/>
          <w:bCs/>
          <w:color w:val="000000" w:themeColor="text1"/>
          <w:sz w:val="32"/>
          <w:szCs w:val="32"/>
          <w:highlight w:val="none"/>
          <w14:textFill>
            <w14:solidFill>
              <w14:schemeClr w14:val="tx1"/>
            </w14:solidFill>
          </w14:textFill>
        </w:rPr>
        <w:t>时</w:t>
      </w:r>
      <w:r>
        <w:rPr>
          <w:rFonts w:hint="eastAsia" w:ascii="Times New Roman" w:hAnsi="Times New Roman" w:eastAsia="方正黑体_GBK" w:cs="Times New Roman"/>
          <w:bCs/>
          <w:color w:val="000000" w:themeColor="text1"/>
          <w:sz w:val="32"/>
          <w:szCs w:val="32"/>
          <w:highlight w:val="none"/>
          <w:u w:val="single"/>
          <w:lang w:val="en-US" w:eastAsia="zh-CN"/>
          <w14:textFill>
            <w14:solidFill>
              <w14:schemeClr w14:val="tx1"/>
            </w14:solidFill>
          </w14:textFill>
        </w:rPr>
        <w:t>30</w:t>
      </w:r>
      <w:bookmarkStart w:id="0" w:name="_GoBack"/>
      <w:bookmarkEnd w:id="0"/>
      <w:r>
        <w:rPr>
          <w:rFonts w:ascii="Times New Roman" w:hAnsi="Times New Roman" w:eastAsia="方正黑体_GBK" w:cs="Times New Roman"/>
          <w:bCs/>
          <w:color w:val="000000" w:themeColor="text1"/>
          <w:sz w:val="32"/>
          <w:szCs w:val="32"/>
          <w:highlight w:val="none"/>
          <w14:textFill>
            <w14:solidFill>
              <w14:schemeClr w14:val="tx1"/>
            </w14:solidFill>
          </w14:textFill>
        </w:rPr>
        <w:t>分</w:t>
      </w:r>
      <w:r>
        <w:rPr>
          <w:rFonts w:hint="eastAsia" w:ascii="Times New Roman" w:hAnsi="Times New Roman" w:eastAsia="方正仿宋_GBK" w:cs="Times New Roman"/>
          <w:b/>
          <w:bCs/>
          <w:sz w:val="32"/>
          <w:szCs w:val="32"/>
          <w:highlight w:val="none"/>
        </w:rPr>
        <w:t>在</w:t>
      </w:r>
      <w:r>
        <w:rPr>
          <w:rFonts w:hint="eastAsia" w:ascii="Times New Roman" w:hAnsi="Times New Roman" w:eastAsia="方正黑体_GBK" w:cs="Times New Roman"/>
          <w:bCs/>
          <w:color w:val="000000" w:themeColor="text1"/>
          <w:sz w:val="32"/>
          <w:szCs w:val="32"/>
          <w:highlight w:val="none"/>
          <w14:textFill>
            <w14:solidFill>
              <w14:schemeClr w14:val="tx1"/>
            </w14:solidFill>
          </w14:textFill>
        </w:rPr>
        <w:t>成都市公共资源交易服务中心</w:t>
      </w:r>
      <w:r>
        <w:rPr>
          <w:rFonts w:ascii="Times New Roman" w:hAnsi="Times New Roman" w:eastAsia="方正黑体_GBK" w:cs="Times New Roman"/>
          <w:bCs/>
          <w:color w:val="000000" w:themeColor="text1"/>
          <w:sz w:val="32"/>
          <w:szCs w:val="32"/>
          <w:highlight w:val="none"/>
          <w14:textFill>
            <w14:solidFill>
              <w14:schemeClr w14:val="tx1"/>
            </w14:solidFill>
          </w14:textFill>
        </w:rPr>
        <w:t>（地址：成都市高新区天府大道北段966号天府国际金融中心7号楼）</w:t>
      </w:r>
      <w:r>
        <w:rPr>
          <w:rFonts w:hint="eastAsia" w:ascii="Times New Roman" w:hAnsi="Times New Roman" w:eastAsia="方正黑体_GBK" w:cs="Times New Roman"/>
          <w:bCs/>
          <w:color w:val="000000" w:themeColor="text1"/>
          <w:sz w:val="32"/>
          <w:szCs w:val="32"/>
          <w:highlight w:val="none"/>
          <w14:textFill>
            <w14:solidFill>
              <w14:schemeClr w14:val="tx1"/>
            </w14:solidFill>
          </w14:textFill>
        </w:rPr>
        <w:t>举行</w:t>
      </w:r>
      <w:r>
        <w:rPr>
          <w:rFonts w:hint="eastAsia" w:ascii="Times New Roman" w:hAnsi="Times New Roman" w:eastAsia="方正仿宋_GBK" w:cs="Times New Roman"/>
          <w:b/>
          <w:bCs/>
          <w:sz w:val="32"/>
          <w:szCs w:val="32"/>
          <w:highlight w:val="none"/>
        </w:rPr>
        <w:t>。</w:t>
      </w:r>
    </w:p>
    <w:p>
      <w:pPr>
        <w:widowControl/>
        <w:spacing w:line="600" w:lineRule="exact"/>
        <w:ind w:firstLine="640" w:firstLineChars="200"/>
        <w:rPr>
          <w:rFonts w:ascii="方正楷体_GBK" w:hAnsi="方正楷体_GBK" w:eastAsia="方正楷体_GBK" w:cs="方正楷体_GBK"/>
          <w:b/>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七、拍卖程序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方正楷体_GBK" w:hAnsi="方正楷体_GBK" w:eastAsia="方正楷体_GBK" w:cs="方正楷体_GBK"/>
          <w:color w:val="000000" w:themeColor="text1"/>
          <w:sz w:val="32"/>
          <w:szCs w:val="32"/>
          <w:highlight w:val="none"/>
          <w14:textFill>
            <w14:solidFill>
              <w14:schemeClr w14:val="tx1"/>
            </w14:solidFill>
          </w14:textFill>
        </w:rPr>
        <w:t>（一）拍卖会程序</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1．主持人宣布拍卖会开始；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2．拍卖主持人、记录员就位；</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3．拍卖主持人点算竞买人并宣布竞买人到场情况；</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4．拍卖主持人介绍拍卖地块的位置、面积、用途、使用年限、规划指标要求、建设时间等；</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5．出让人现场将密封的拍卖底价单交给拍卖主持人，拍卖主持人现场开启密封件</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拍卖主持人宣布拍卖宗地的起叫价、增价规则和增价幅度，并明确提示是否设有底价。在拍卖过程中，拍卖主持人可根据现场情况调整增价幅度；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6．拍卖主持人报出起叫价，宣布竞价开始；</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7．竞买人举牌应价或者口头报价；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8．拍卖主持人确认该竞买人应价或者口头报价后继续竞价；</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9．拍卖主持人连续三次宣布同一应价或口头报价而没有人再应价或出价，且该价格不低于底价的，拍卖主持人落槌表示拍卖成交，并宣布最高应价者为竞得人。成交结果对拍卖人、竞得人和出让人均具有法律效力。最高应价或口头报价低于底价的，拍卖主持人宣布终止拍卖。</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（二）确定竞得人后，拍卖人与竞得人当场签订《成交确认书》，拍卖人或竞得人不按规定签订《成交确认书》的，应当承担法律责任。竞得人拒绝签订《成交确认书》也不能对抗拍卖成交结果的法律效力。</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（三）竞得人必</w:t>
      </w:r>
      <w:r>
        <w:rPr>
          <w:rFonts w:ascii="Times New Roman" w:hAnsi="Times New Roman" w:eastAsia="方正仿宋_GBK" w:cs="Times New Roman"/>
          <w:color w:val="000000" w:themeColor="text1"/>
          <w:sz w:val="32"/>
          <w:szCs w:val="32"/>
          <w:highlight w:val="none"/>
          <w14:textFill>
            <w14:solidFill>
              <w14:schemeClr w14:val="tx1"/>
            </w14:solidFill>
          </w14:textFill>
        </w:rPr>
        <w:t>须在土地拍卖成交后</w:t>
      </w:r>
      <w:r>
        <w:rPr>
          <w:rFonts w:ascii="Times New Roman" w:hAnsi="Times New Roman" w:eastAsia="方正仿宋_GBK" w:cs="Times New Roman"/>
          <w:b/>
          <w:bCs/>
          <w:color w:val="000000" w:themeColor="text1"/>
          <w:sz w:val="32"/>
          <w:szCs w:val="32"/>
          <w:highlight w:val="none"/>
          <w14:textFill>
            <w14:solidFill>
              <w14:schemeClr w14:val="tx1"/>
            </w14:solidFill>
          </w14:textFill>
        </w:rPr>
        <w:t>10</w:t>
      </w:r>
      <w:r>
        <w:rPr>
          <w:rFonts w:ascii="Times New Roman" w:hAnsi="Times New Roman" w:eastAsia="方正仿宋_GBK" w:cs="Times New Roman"/>
          <w:color w:val="000000" w:themeColor="text1"/>
          <w:sz w:val="32"/>
          <w:szCs w:val="32"/>
          <w:highlight w:val="none"/>
          <w14:textFill>
            <w14:solidFill>
              <w14:schemeClr w14:val="tx1"/>
            </w14:solidFill>
          </w14:textFill>
        </w:rPr>
        <w:t>个工作日内依据《成交确认书》的约定与出让人签订《出让合同》。</w:t>
      </w:r>
    </w:p>
    <w:p>
      <w:pPr>
        <w:widowControl/>
        <w:spacing w:line="600" w:lineRule="exact"/>
        <w:ind w:firstLine="640" w:firstLineChars="200"/>
        <w:rPr>
          <w:rFonts w:ascii="方正仿宋_GBK" w:hAnsi="方正仿宋_GBK" w:eastAsia="方正仿宋_GBK" w:cs="方正仿宋_GBK"/>
          <w:color w:val="000000" w:themeColor="text1"/>
          <w:sz w:val="32"/>
          <w:szCs w:val="32"/>
          <w:highlight w:val="none"/>
          <w14:textFill>
            <w14:solidFill>
              <w14:schemeClr w14:val="tx1"/>
            </w14:solidFill>
          </w14:textFill>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（四）出让结果公示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拍卖人</w:t>
      </w:r>
      <w:r>
        <w:rPr>
          <w:rFonts w:ascii="Times New Roman" w:hAnsi="Times New Roman" w:eastAsia="方正仿宋_GBK" w:cs="Times New Roman"/>
          <w:color w:val="000000" w:themeColor="text1"/>
          <w:sz w:val="32"/>
          <w:szCs w:val="32"/>
          <w:highlight w:val="none"/>
          <w14:textFill>
            <w14:solidFill>
              <w14:schemeClr w14:val="tx1"/>
            </w14:solidFill>
          </w14:textFill>
        </w:rPr>
        <w:t>将在此次国有建设用地使用权拍卖会结束后</w:t>
      </w:r>
      <w:r>
        <w:rPr>
          <w:rFonts w:hint="eastAsia" w:ascii="Times New Roman" w:hAnsi="Times New Roman" w:eastAsia="方正仿宋_GBK" w:cs="Times New Roman"/>
          <w:b/>
          <w:bCs/>
          <w:color w:val="000000" w:themeColor="text1"/>
          <w:sz w:val="32"/>
          <w:szCs w:val="32"/>
          <w:highlight w:val="none"/>
          <w:u w:val="single"/>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个工作日内，在</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交易平台</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及</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中国土地市场网</w:t>
      </w:r>
      <w:r>
        <w:rPr>
          <w:rFonts w:ascii="Times New Roman" w:hAnsi="Times New Roman" w:eastAsia="方正仿宋_GBK" w:cs="Times New Roman"/>
          <w:color w:val="000000" w:themeColor="text1"/>
          <w:sz w:val="32"/>
          <w:szCs w:val="32"/>
          <w:highlight w:val="none"/>
          <w14:textFill>
            <w14:solidFill>
              <w14:schemeClr w14:val="tx1"/>
            </w14:solidFill>
          </w14:textFill>
        </w:rPr>
        <w:t>上</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公示</w:t>
      </w:r>
      <w:r>
        <w:rPr>
          <w:rFonts w:ascii="Times New Roman" w:hAnsi="Times New Roman" w:eastAsia="方正仿宋_GBK" w:cs="Times New Roman"/>
          <w:color w:val="000000" w:themeColor="text1"/>
          <w:sz w:val="32"/>
          <w:szCs w:val="32"/>
          <w:highlight w:val="none"/>
          <w14:textFill>
            <w14:solidFill>
              <w14:schemeClr w14:val="tx1"/>
            </w14:solidFill>
          </w14:textFill>
        </w:rPr>
        <w:t>本次国有建设用地使用权拍卖出让结果</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Cs/>
          <w:color w:val="000000" w:themeColor="text1"/>
          <w:sz w:val="32"/>
          <w:szCs w:val="32"/>
          <w:highlight w:val="none"/>
          <w14:textFill>
            <w14:solidFill>
              <w14:schemeClr w14:val="tx1"/>
            </w14:solidFill>
          </w14:textFill>
        </w:rPr>
        <w:t>八、竞价规则</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（一）本次拍卖采用</w:t>
      </w:r>
      <w:r>
        <w:rPr>
          <w:rFonts w:ascii="Times New Roman" w:hAnsi="Times New Roman" w:eastAsia="方正仿宋_GBK" w:cs="Times New Roman"/>
          <w:b/>
          <w:color w:val="000000" w:themeColor="text1"/>
          <w:sz w:val="32"/>
          <w:szCs w:val="32"/>
          <w:highlight w:val="none"/>
          <w14:textFill>
            <w14:solidFill>
              <w14:schemeClr w14:val="tx1"/>
            </w14:solidFill>
          </w14:textFill>
        </w:rPr>
        <w:t>有底价拍卖出让</w:t>
      </w:r>
      <w:r>
        <w:rPr>
          <w:rFonts w:ascii="Times New Roman" w:hAnsi="Times New Roman" w:eastAsia="方正仿宋_GBK" w:cs="Times New Roman"/>
          <w:color w:val="000000" w:themeColor="text1"/>
          <w:sz w:val="32"/>
          <w:szCs w:val="32"/>
          <w:highlight w:val="none"/>
          <w14:textFill>
            <w14:solidFill>
              <w14:schemeClr w14:val="tx1"/>
            </w14:solidFill>
          </w14:textFill>
        </w:rPr>
        <w:t>，按</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照不低于底价的</w:t>
      </w:r>
      <w:r>
        <w:rPr>
          <w:rFonts w:ascii="Times New Roman" w:hAnsi="Times New Roman" w:eastAsia="方正仿宋_GBK" w:cs="Times New Roman"/>
          <w:color w:val="000000" w:themeColor="text1"/>
          <w:sz w:val="32"/>
          <w:szCs w:val="32"/>
          <w:highlight w:val="none"/>
          <w14:textFill>
            <w14:solidFill>
              <w14:schemeClr w14:val="tx1"/>
            </w14:solidFill>
          </w14:textFill>
        </w:rPr>
        <w:t>价高者得的原则确定竞得人。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（二）竞买人以举牌方式应价，也可以</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口头</w:t>
      </w:r>
      <w:r>
        <w:rPr>
          <w:rFonts w:ascii="Times New Roman" w:hAnsi="Times New Roman" w:eastAsia="方正仿宋_GBK" w:cs="Times New Roman"/>
          <w:color w:val="000000" w:themeColor="text1"/>
          <w:sz w:val="32"/>
          <w:szCs w:val="32"/>
          <w:highlight w:val="none"/>
          <w14:textFill>
            <w14:solidFill>
              <w14:schemeClr w14:val="tx1"/>
            </w14:solidFill>
          </w14:textFill>
        </w:rPr>
        <w:t>报价，但</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口头</w:t>
      </w:r>
      <w:r>
        <w:rPr>
          <w:rFonts w:ascii="Times New Roman" w:hAnsi="Times New Roman" w:eastAsia="方正仿宋_GBK" w:cs="Times New Roman"/>
          <w:color w:val="000000" w:themeColor="text1"/>
          <w:sz w:val="32"/>
          <w:szCs w:val="32"/>
          <w:highlight w:val="none"/>
          <w14:textFill>
            <w14:solidFill>
              <w14:schemeClr w14:val="tx1"/>
            </w14:solidFill>
          </w14:textFill>
        </w:rPr>
        <w:t>报价的加价幅度不得小于拍卖主持人宣布或调整的增价幅度。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（三）本次拍卖设有底价，最后应价未达到底价时，拍卖主持人终止拍卖活动。</w:t>
      </w:r>
    </w:p>
    <w:p>
      <w:pPr>
        <w:widowControl/>
        <w:spacing w:line="600" w:lineRule="exact"/>
        <w:ind w:firstLine="640" w:firstLineChars="200"/>
        <w:rPr>
          <w:rFonts w:ascii="方正黑体_GBK" w:hAnsi="方正黑体_GBK" w:eastAsia="方正黑体_GBK" w:cs="方正黑体_GBK"/>
          <w:bCs/>
          <w:color w:val="000000" w:themeColor="text1"/>
          <w:sz w:val="32"/>
          <w:szCs w:val="32"/>
          <w:highlight w:val="none"/>
          <w14:textFill>
            <w14:solidFill>
              <w14:schemeClr w14:val="tx1"/>
            </w14:solidFill>
          </w14:textFill>
        </w:rPr>
      </w:pPr>
      <w:r>
        <w:rPr>
          <w:rFonts w:hint="eastAsia" w:ascii="方正黑体_GBK" w:hAnsi="方正黑体_GBK" w:eastAsia="方正黑体_GBK" w:cs="方正黑体_GBK"/>
          <w:bCs/>
          <w:color w:val="000000" w:themeColor="text1"/>
          <w:sz w:val="32"/>
          <w:szCs w:val="32"/>
          <w:highlight w:val="none"/>
          <w14:textFill>
            <w14:solidFill>
              <w14:schemeClr w14:val="tx1"/>
            </w14:solidFill>
          </w14:textFill>
        </w:rPr>
        <w:t>九、注意事项</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（一）申请人须全面阅读有关拍卖文件，如有疑问可以在拍卖会开始日以前用书面或口头方式向</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资阳市政府政务服务和公共资源交易服务中心</w:t>
      </w:r>
      <w:r>
        <w:rPr>
          <w:rFonts w:ascii="Times New Roman" w:hAnsi="Times New Roman" w:eastAsia="方正仿宋_GBK" w:cs="Times New Roman"/>
          <w:color w:val="000000" w:themeColor="text1"/>
          <w:sz w:val="32"/>
          <w:szCs w:val="32"/>
          <w:highlight w:val="none"/>
          <w14:textFill>
            <w14:solidFill>
              <w14:schemeClr w14:val="tx1"/>
            </w14:solidFill>
          </w14:textFill>
        </w:rPr>
        <w:t>咨询。申请一经受理确认后，即视为竞买人对拍卖文件及</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宗</w:t>
      </w:r>
      <w:r>
        <w:rPr>
          <w:rFonts w:ascii="Times New Roman" w:hAnsi="Times New Roman" w:eastAsia="方正仿宋_GBK" w:cs="Times New Roman"/>
          <w:color w:val="000000" w:themeColor="text1"/>
          <w:sz w:val="32"/>
          <w:szCs w:val="32"/>
          <w:highlight w:val="none"/>
          <w14:textFill>
            <w14:solidFill>
              <w14:schemeClr w14:val="tx1"/>
            </w14:solidFill>
          </w14:textFill>
        </w:rPr>
        <w:t>地现状无异议并全部接受，并对有关承诺承担法律责任。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（二）</w:t>
      </w:r>
      <w:r>
        <w:rPr>
          <w:rFonts w:hint="eastAsia" w:ascii="方正楷体_GBK" w:hAnsi="方正楷体_GBK" w:eastAsia="方正楷体_GBK" w:cs="方正楷体_GBK"/>
          <w:b/>
          <w:bCs/>
          <w:color w:val="000000" w:themeColor="text1"/>
          <w:sz w:val="32"/>
          <w:szCs w:val="32"/>
          <w:highlight w:val="none"/>
          <w14:textFill>
            <w14:solidFill>
              <w14:schemeClr w14:val="tx1"/>
            </w14:solidFill>
          </w14:textFill>
        </w:rPr>
        <w:t>申请人拟在竞得土地后成立新公司进行开发建设的，应在竞买申请书中明确新公司的出资构成、成立时间等内容，并出具市场监管部门的《企业预先核名通知书》。</w:t>
      </w:r>
      <w:r>
        <w:rPr>
          <w:rFonts w:ascii="Times New Roman" w:hAnsi="Times New Roman" w:eastAsia="方正仿宋_GBK" w:cs="Times New Roman"/>
          <w:color w:val="000000" w:themeColor="text1"/>
          <w:sz w:val="32"/>
          <w:szCs w:val="32"/>
          <w:highlight w:val="none"/>
          <w14:textFill>
            <w14:solidFill>
              <w14:schemeClr w14:val="tx1"/>
            </w14:solidFill>
          </w14:textFill>
        </w:rPr>
        <w:t>出让人可以根据拍卖出让结果与竞得人签订《出让合同》，在竞得人按约定办理完新公司注册登记手续后，再与新公司签订《国有建设用地使用权出让合同变更协议》或直接</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与合同签订时间内正式注册成立的</w:t>
      </w:r>
      <w:r>
        <w:rPr>
          <w:rFonts w:ascii="Times New Roman" w:hAnsi="Times New Roman" w:eastAsia="方正仿宋_GBK" w:cs="Times New Roman"/>
          <w:color w:val="000000" w:themeColor="text1"/>
          <w:sz w:val="32"/>
          <w:szCs w:val="32"/>
          <w:highlight w:val="none"/>
          <w14:textFill>
            <w14:solidFill>
              <w14:schemeClr w14:val="tx1"/>
            </w14:solidFill>
          </w14:textFill>
        </w:rPr>
        <w:t>新公司签订《出让合同》。</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（三）竞买人一经应价或报价，不可撤回。</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四）确定竞得人后，竞得人在拍卖现场与拍卖人签订《成交确认书》。委托他人代签的，应提交法定代表人亲笔签名并盖章的授权委托书。《成交确认书》对拍卖人和竞得人具有法律效力，拍卖人改变拍卖结果的，或者竞得人放弃竞得宗地的，应当承担法律责任。</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（五）</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签订《成交确认书》后，</w:t>
      </w:r>
      <w:r>
        <w:rPr>
          <w:rFonts w:ascii="Times New Roman" w:hAnsi="Times New Roman" w:eastAsia="方正仿宋_GBK" w:cs="Times New Roman"/>
          <w:sz w:val="32"/>
          <w:szCs w:val="32"/>
          <w:highlight w:val="none"/>
          <w:u w:val="single"/>
          <w:lang w:val="en-US" w:eastAsia="zh-CN"/>
        </w:rPr>
        <w:t>竞得人交纳的竞买保证金自动转作该地块的定金，该定金抵作首期土地出让价款。</w:t>
      </w:r>
      <w:r>
        <w:rPr>
          <w:rFonts w:ascii="Times New Roman" w:hAnsi="Times New Roman" w:eastAsia="方正仿宋_GBK" w:cs="Times New Roman"/>
          <w:color w:val="000000" w:themeColor="text1"/>
          <w:sz w:val="32"/>
          <w:szCs w:val="32"/>
          <w:highlight w:val="none"/>
          <w14:textFill>
            <w14:solidFill>
              <w14:schemeClr w14:val="tx1"/>
            </w14:solidFill>
          </w14:textFill>
        </w:rPr>
        <w:t>未竞得人交纳的竞买保证金，</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拍卖人</w:t>
      </w:r>
      <w:r>
        <w:rPr>
          <w:rFonts w:ascii="Times New Roman" w:hAnsi="Times New Roman" w:eastAsia="方正仿宋_GBK" w:cs="Times New Roman"/>
          <w:color w:val="000000" w:themeColor="text1"/>
          <w:sz w:val="32"/>
          <w:szCs w:val="32"/>
          <w:highlight w:val="none"/>
          <w14:textFill>
            <w14:solidFill>
              <w14:schemeClr w14:val="tx1"/>
            </w14:solidFill>
          </w14:textFill>
        </w:rPr>
        <w:t>在拍卖活动结束</w:t>
      </w:r>
      <w:r>
        <w:rPr>
          <w:rFonts w:ascii="Times New Roman" w:hAnsi="Times New Roman" w:eastAsia="方正仿宋_GBK" w:cs="Times New Roman"/>
          <w:b/>
          <w:color w:val="000000" w:themeColor="text1"/>
          <w:sz w:val="32"/>
          <w:szCs w:val="32"/>
          <w:highlight w:val="none"/>
          <w:u w:val="single"/>
          <w14:textFill>
            <w14:solidFill>
              <w14:schemeClr w14:val="tx1"/>
            </w14:solidFill>
          </w14:textFill>
        </w:rPr>
        <w:t>次日起5个工作日内</w:t>
      </w:r>
      <w:r>
        <w:rPr>
          <w:rFonts w:ascii="Times New Roman" w:hAnsi="Times New Roman" w:eastAsia="方正仿宋_GBK" w:cs="Times New Roman"/>
          <w:color w:val="000000" w:themeColor="text1"/>
          <w:sz w:val="32"/>
          <w:szCs w:val="32"/>
          <w:highlight w:val="none"/>
          <w14:textFill>
            <w14:solidFill>
              <w14:schemeClr w14:val="tx1"/>
            </w14:solidFill>
          </w14:textFill>
        </w:rPr>
        <w:t>予以退还，不计利息。</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（六）有下列情形之一的，拍卖人应当在拍卖会前终止拍卖活动，并通知竞买人：</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1．</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竞买人串通损害国家利益、社会利益或他人合法权益的；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拍卖工作人员私下接触竞买人，足以影响拍卖公正性的；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3．应当依法终止拍卖活动的其他情形。</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（七）竞得人有下列行为之一的，视为违约，拍卖人可取消其竞得人资格，竞买保证金不予退还：</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ascii="Times New Roman" w:hAnsi="Times New Roman" w:eastAsia="方正仿宋_GBK" w:cs="Times New Roman"/>
          <w:color w:val="000000" w:themeColor="text1"/>
          <w:kern w:val="0"/>
          <w:sz w:val="32"/>
          <w:szCs w:val="32"/>
          <w:highlight w:val="none"/>
          <w14:textFill>
            <w14:solidFill>
              <w14:schemeClr w14:val="tx1"/>
            </w14:solidFill>
          </w14:textFill>
        </w:rPr>
        <w:t>1．提供虚假文件隐瞒事实的</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w:t>
      </w:r>
    </w:p>
    <w:p>
      <w:pPr>
        <w:widowControl/>
        <w:spacing w:line="600" w:lineRule="exact"/>
        <w:ind w:firstLine="640" w:firstLineChars="200"/>
        <w:jc w:val="left"/>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ascii="Times New Roman" w:hAnsi="Times New Roman" w:eastAsia="方正仿宋_GBK" w:cs="Times New Roman"/>
          <w:color w:val="000000" w:themeColor="text1"/>
          <w:kern w:val="0"/>
          <w:sz w:val="32"/>
          <w:szCs w:val="32"/>
          <w:highlight w:val="none"/>
          <w14:textFill>
            <w14:solidFill>
              <w14:schemeClr w14:val="tx1"/>
            </w14:solidFill>
          </w14:textFill>
        </w:rPr>
        <w:t>2．采取行贿、恶意串通等非法手段竞得的。</w:t>
      </w:r>
    </w:p>
    <w:p>
      <w:pPr>
        <w:widowControl/>
        <w:spacing w:line="600" w:lineRule="exact"/>
        <w:ind w:firstLine="640" w:firstLineChars="200"/>
        <w:jc w:val="left"/>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3．</w:t>
      </w:r>
      <w:r>
        <w:rPr>
          <w:rFonts w:ascii="Times New Roman" w:hAnsi="Times New Roman" w:eastAsia="方正仿宋_GBK" w:cs="Times New Roman"/>
          <w:color w:val="000000" w:themeColor="text1"/>
          <w:w w:val="95"/>
          <w:sz w:val="32"/>
          <w:szCs w:val="32"/>
          <w:highlight w:val="none"/>
          <w14:textFill>
            <w14:solidFill>
              <w14:schemeClr w14:val="tx1"/>
            </w14:solidFill>
          </w14:textFill>
        </w:rPr>
        <w:t>竞得人逾期或拒绝签订</w:t>
      </w:r>
      <w:r>
        <w:rPr>
          <w:rFonts w:ascii="Times New Roman" w:hAnsi="Times New Roman" w:eastAsia="方正仿宋_GBK" w:cs="Times New Roman"/>
          <w:color w:val="000000" w:themeColor="text1"/>
          <w:sz w:val="32"/>
          <w:szCs w:val="32"/>
          <w:highlight w:val="none"/>
          <w14:textFill>
            <w14:solidFill>
              <w14:schemeClr w14:val="tx1"/>
            </w14:solidFill>
          </w14:textFill>
        </w:rPr>
        <w:t>《成交确认书》的。</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4</w:t>
      </w:r>
      <w:r>
        <w:rPr>
          <w:rFonts w:ascii="Times New Roman" w:hAnsi="Times New Roman" w:eastAsia="方正仿宋_GBK" w:cs="Times New Roman"/>
          <w:color w:val="000000" w:themeColor="text1"/>
          <w:w w:val="95"/>
          <w:sz w:val="32"/>
          <w:szCs w:val="32"/>
          <w:highlight w:val="none"/>
          <w14:textFill>
            <w14:solidFill>
              <w14:schemeClr w14:val="tx1"/>
            </w14:solidFill>
          </w14:textFill>
        </w:rPr>
        <w:t>．竞得人逾期或拒绝签订《出让合同》的</w:t>
      </w:r>
      <w:r>
        <w:rPr>
          <w:rFonts w:ascii="Times New Roman" w:hAnsi="Times New Roman" w:eastAsia="方正仿宋_GBK" w:cs="Times New Roman"/>
          <w:color w:val="000000" w:themeColor="text1"/>
          <w:sz w:val="32"/>
          <w:szCs w:val="32"/>
          <w:highlight w:val="none"/>
          <w14:textFill>
            <w14:solidFill>
              <w14:schemeClr w14:val="tx1"/>
            </w14:solidFill>
          </w14:textFill>
        </w:rPr>
        <w:t>。</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（八）竞得人与出让人签订《出让合同》后，应当按《出让合同》约定支付拍卖成交价款。竞得人付清全部拍卖成交价款后</w:t>
      </w:r>
      <w:r>
        <w:rPr>
          <w:rFonts w:hint="eastAsia" w:ascii="Times New Roman" w:hAnsi="Times New Roman" w:eastAsia="方正仿宋_GBK" w:cs="Times New Roman"/>
          <w:b/>
          <w:color w:val="000000" w:themeColor="text1"/>
          <w:sz w:val="32"/>
          <w:szCs w:val="32"/>
          <w:highlight w:val="none"/>
          <w14:textFill>
            <w14:solidFill>
              <w14:schemeClr w14:val="tx1"/>
            </w14:solidFill>
          </w14:textFill>
        </w:rPr>
        <w:t>（如涉及分期付款利息和延迟缴纳土地价款违约金的，需一并缴清）</w:t>
      </w:r>
      <w:r>
        <w:rPr>
          <w:rFonts w:ascii="Times New Roman" w:hAnsi="Times New Roman" w:eastAsia="方正仿宋_GBK" w:cs="Times New Roman"/>
          <w:color w:val="000000" w:themeColor="text1"/>
          <w:sz w:val="32"/>
          <w:szCs w:val="32"/>
          <w:highlight w:val="none"/>
          <w14:textFill>
            <w14:solidFill>
              <w14:schemeClr w14:val="tx1"/>
            </w14:solidFill>
          </w14:textFill>
        </w:rPr>
        <w:t>，方可依法申请办理土地登记，领取《不动产权证书》。</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（九）拍卖不成交的，应当按规定由我</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中心</w:t>
      </w:r>
      <w:r>
        <w:rPr>
          <w:rFonts w:ascii="Times New Roman" w:hAnsi="Times New Roman" w:eastAsia="方正仿宋_GBK" w:cs="Times New Roman"/>
          <w:color w:val="000000" w:themeColor="text1"/>
          <w:sz w:val="32"/>
          <w:szCs w:val="32"/>
          <w:highlight w:val="none"/>
          <w14:textFill>
            <w14:solidFill>
              <w14:schemeClr w14:val="tx1"/>
            </w14:solidFill>
          </w14:textFill>
        </w:rPr>
        <w:t>重新组织出让。</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（十）参加拍卖活动的人员，应遵守现场的纪律，服从管理人员的管理。</w:t>
      </w:r>
    </w:p>
    <w:p>
      <w:pPr>
        <w:widowControl/>
        <w:spacing w:line="600" w:lineRule="exact"/>
        <w:ind w:firstLine="640" w:firstLineChars="200"/>
        <w:rPr>
          <w:rFonts w:ascii="Times New Roman" w:hAnsi="Times New Roman" w:eastAsia="方正仿宋_GBK" w:cs="Times New Roman"/>
          <w:color w:val="000000" w:themeColor="text1"/>
          <w:kern w:val="0"/>
          <w:sz w:val="32"/>
          <w:szCs w:val="32"/>
          <w:highlight w:val="none"/>
          <w14:textFill>
            <w14:solidFill>
              <w14:schemeClr w14:val="tx1"/>
            </w14:solidFill>
          </w14:textFill>
        </w:rPr>
      </w:pPr>
      <w:r>
        <w:rPr>
          <w:rFonts w:hint="eastAsia" w:ascii="方正黑体_GBK" w:hAnsi="方正黑体_GBK" w:eastAsia="方正黑体_GBK" w:cs="方正黑体_GBK"/>
          <w:color w:val="000000" w:themeColor="text1"/>
          <w:kern w:val="0"/>
          <w:sz w:val="32"/>
          <w:szCs w:val="32"/>
          <w:highlight w:val="none"/>
          <w14:textFill>
            <w14:solidFill>
              <w14:schemeClr w14:val="tx1"/>
            </w14:solidFill>
          </w14:textFill>
        </w:rPr>
        <w:t>十、</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该地块拍卖成交后，竞得人需在成交后</w:t>
      </w:r>
      <w:r>
        <w:rPr>
          <w:rFonts w:hint="eastAsia" w:ascii="Times New Roman" w:hAnsi="Times New Roman" w:eastAsia="方正仿宋_GBK" w:cs="Times New Roman"/>
          <w:b/>
          <w:bCs/>
          <w:color w:val="000000" w:themeColor="text1"/>
          <w:kern w:val="0"/>
          <w:sz w:val="32"/>
          <w:szCs w:val="32"/>
          <w:highlight w:val="none"/>
          <w:u w:val="single"/>
          <w14:textFill>
            <w14:solidFill>
              <w14:schemeClr w14:val="tx1"/>
            </w14:solidFill>
          </w14:textFill>
        </w:rPr>
        <w:t>5</w:t>
      </w:r>
      <w:r>
        <w:rPr>
          <w:rFonts w:hint="eastAsia" w:ascii="Times New Roman" w:hAnsi="Times New Roman" w:eastAsia="方正仿宋_GBK" w:cs="Times New Roman"/>
          <w:color w:val="000000" w:themeColor="text1"/>
          <w:kern w:val="0"/>
          <w:sz w:val="32"/>
          <w:szCs w:val="32"/>
          <w:highlight w:val="none"/>
          <w:u w:val="single"/>
          <w14:textFill>
            <w14:solidFill>
              <w14:schemeClr w14:val="tx1"/>
            </w14:solidFill>
          </w14:textFill>
        </w:rPr>
        <w:t>个工作日</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内将地产交易手续费缴入</w:t>
      </w:r>
      <w:r>
        <w:rPr>
          <w:rFonts w:hint="eastAsia" w:ascii="Times New Roman" w:hAnsi="Times New Roman" w:eastAsia="方正仿宋_GBK" w:cs="Times New Roman"/>
          <w:sz w:val="32"/>
          <w:szCs w:val="32"/>
          <w:highlight w:val="none"/>
          <w:u w:val="single"/>
        </w:rPr>
        <w:t>资阳市土地矿产交易中心指定账户</w:t>
      </w:r>
      <w:r>
        <w:rPr>
          <w:rFonts w:hint="eastAsia" w:ascii="Times New Roman" w:hAnsi="Times New Roman" w:eastAsia="方正仿宋_GBK" w:cs="Times New Roman"/>
          <w:color w:val="000000" w:themeColor="text1"/>
          <w:kern w:val="0"/>
          <w:sz w:val="32"/>
          <w:szCs w:val="32"/>
          <w:highlight w:val="none"/>
          <w14:textFill>
            <w14:solidFill>
              <w14:schemeClr w14:val="tx1"/>
            </w14:solidFill>
          </w14:textFill>
        </w:rPr>
        <w:t>。按照川价发〔2006〕229号文件规定，地产交易手续费按照该地块成交总价款差额定率累进法计算收取。</w:t>
      </w:r>
    </w:p>
    <w:p>
      <w:pPr>
        <w:widowControl/>
        <w:spacing w:line="600" w:lineRule="exact"/>
        <w:ind w:firstLine="640" w:firstLineChars="2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具体标准如下：</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58"/>
        <w:gridCol w:w="4682"/>
        <w:gridCol w:w="30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档次</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拍卖金额</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费率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100万元以下</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2</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100‒500万元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3</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500‒1000万元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4</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1000‒5000万元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5</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5000‒10000万元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6</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10000‒100000万元</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58"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7</w:t>
            </w:r>
          </w:p>
        </w:tc>
        <w:tc>
          <w:tcPr>
            <w:tcW w:w="4682"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100000万元以上</w:t>
            </w:r>
          </w:p>
        </w:tc>
        <w:tc>
          <w:tcPr>
            <w:tcW w:w="3020" w:type="dxa"/>
            <w:noWrap/>
            <w:vAlign w:val="center"/>
          </w:tcPr>
          <w:p>
            <w:pPr>
              <w:spacing w:after="120" w:line="400" w:lineRule="exact"/>
              <w:jc w:val="center"/>
              <w:rPr>
                <w:rFonts w:ascii="Times New Roman" w:hAnsi="Times New Roman" w:eastAsia="方正仿宋_GBK" w:cs="Times New Roman"/>
                <w:color w:val="000000" w:themeColor="text1"/>
                <w:sz w:val="28"/>
                <w:szCs w:val="28"/>
                <w:highlight w:val="none"/>
                <w14:textFill>
                  <w14:solidFill>
                    <w14:schemeClr w14:val="tx1"/>
                  </w14:solidFill>
                </w14:textFill>
              </w:rPr>
            </w:pPr>
            <w:r>
              <w:rPr>
                <w:rFonts w:ascii="Times New Roman" w:hAnsi="Times New Roman" w:eastAsia="方正仿宋_GBK" w:cs="Times New Roman"/>
                <w:color w:val="000000" w:themeColor="text1"/>
                <w:sz w:val="28"/>
                <w:szCs w:val="28"/>
                <w:highlight w:val="none"/>
                <w14:textFill>
                  <w14:solidFill>
                    <w14:schemeClr w14:val="tx1"/>
                  </w14:solidFill>
                </w14:textFill>
              </w:rPr>
              <w:t>0.1%</w:t>
            </w:r>
          </w:p>
        </w:tc>
      </w:tr>
    </w:tbl>
    <w:p>
      <w:pPr>
        <w:widowControl/>
        <w:spacing w:line="600" w:lineRule="exact"/>
        <w:ind w:firstLine="640" w:firstLineChars="200"/>
        <w:rPr>
          <w:rFonts w:hint="eastAsia" w:ascii="方正黑体_GBK" w:hAnsi="方正黑体_GBK" w:eastAsia="方正黑体_GBK" w:cs="方正黑体_GBK"/>
          <w:b w:val="0"/>
          <w:bCs w:val="0"/>
          <w:color w:val="000000" w:themeColor="text1"/>
          <w:sz w:val="32"/>
          <w:szCs w:val="32"/>
          <w:highlight w:val="none"/>
          <w14:textFill>
            <w14:solidFill>
              <w14:schemeClr w14:val="tx1"/>
            </w14:solidFill>
          </w14:textFill>
        </w:rPr>
      </w:pPr>
      <w:r>
        <w:rPr>
          <w:rFonts w:hint="eastAsia" w:ascii="Times New Roman" w:hAnsi="Times New Roman" w:eastAsia="方正仿宋_GBK" w:cs="Times New Roman"/>
          <w:color w:val="000000"/>
          <w:kern w:val="0"/>
          <w:sz w:val="32"/>
          <w:szCs w:val="32"/>
          <w:highlight w:val="none"/>
          <w:u w:val="single"/>
        </w:rPr>
        <w:t>根据资住建发〔2022〕79号文件要求，针对土地用途为房地产开发建设用地的，地产交易手续费将在上述支付标准核算金额基础上减按50%收取。</w:t>
      </w:r>
    </w:p>
    <w:p>
      <w:pPr>
        <w:widowControl/>
        <w:spacing w:line="600" w:lineRule="exact"/>
        <w:ind w:firstLine="640" w:firstLineChars="200"/>
        <w:rPr>
          <w:rFonts w:ascii="Times New Roman" w:hAnsi="Times New Roman" w:eastAsia="仿宋_GB2312" w:cs="Times New Roman"/>
          <w:color w:val="000000" w:themeColor="text1"/>
          <w:sz w:val="32"/>
          <w:highlight w:val="none"/>
          <w14:textFill>
            <w14:solidFill>
              <w14:schemeClr w14:val="tx1"/>
            </w14:solidFill>
          </w14:textFill>
        </w:rPr>
      </w:pPr>
      <w:r>
        <w:rPr>
          <w:rFonts w:hint="eastAsia" w:ascii="方正黑体_GBK" w:hAnsi="方正黑体_GBK" w:eastAsia="方正黑体_GBK" w:cs="方正黑体_GBK"/>
          <w:color w:val="000000" w:themeColor="text1"/>
          <w:sz w:val="32"/>
          <w:szCs w:val="32"/>
          <w:highlight w:val="none"/>
          <w14:textFill>
            <w14:solidFill>
              <w14:schemeClr w14:val="tx1"/>
            </w14:solidFill>
          </w14:textFill>
        </w:rPr>
        <w:t>十一、</w:t>
      </w:r>
      <w:r>
        <w:rPr>
          <w:rFonts w:ascii="Times New Roman" w:hAnsi="Times New Roman" w:eastAsia="方正仿宋_GBK" w:cs="Times New Roman"/>
          <w:sz w:val="32"/>
          <w:szCs w:val="32"/>
          <w:highlight w:val="none"/>
        </w:rPr>
        <w:t>本《出让须知》由</w:t>
      </w:r>
      <w:r>
        <w:rPr>
          <w:rFonts w:hint="eastAsia" w:ascii="Times New Roman" w:hAnsi="Times New Roman" w:eastAsia="方正仿宋_GBK" w:cs="Times New Roman"/>
          <w:sz w:val="32"/>
          <w:szCs w:val="32"/>
          <w:highlight w:val="none"/>
          <w:u w:val="single"/>
          <w:lang w:eastAsia="zh-CN"/>
        </w:rPr>
        <w:t>出让人、</w:t>
      </w: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hint="eastAsia" w:ascii="Times New Roman" w:hAnsi="Times New Roman" w:eastAsia="方正仿宋_GBK" w:cs="Times New Roman"/>
          <w:color w:val="000000" w:themeColor="text1"/>
          <w:sz w:val="32"/>
          <w:szCs w:val="32"/>
          <w:highlight w:val="none"/>
          <w:u w:val="single"/>
          <w:lang w:eastAsia="zh-CN"/>
          <w14:textFill>
            <w14:solidFill>
              <w14:schemeClr w14:val="tx1"/>
            </w14:solidFill>
          </w14:textFill>
        </w:rPr>
        <w:t>共同</w:t>
      </w:r>
      <w:r>
        <w:rPr>
          <w:rFonts w:ascii="Times New Roman" w:hAnsi="Times New Roman" w:eastAsia="方正仿宋_GBK" w:cs="Times New Roman"/>
          <w:sz w:val="32"/>
          <w:szCs w:val="32"/>
          <w:highlight w:val="none"/>
          <w:u w:val="single"/>
        </w:rPr>
        <w:t>负责解释</w:t>
      </w:r>
      <w:r>
        <w:rPr>
          <w:rFonts w:ascii="Times New Roman" w:hAnsi="Times New Roman" w:eastAsia="方正仿宋_GBK" w:cs="Times New Roman"/>
          <w:sz w:val="32"/>
          <w:szCs w:val="32"/>
          <w:highlight w:val="none"/>
        </w:rPr>
        <w:t>。</w:t>
      </w:r>
      <w:r>
        <w:rPr>
          <w:rFonts w:ascii="Times New Roman" w:hAnsi="Times New Roman" w:eastAsia="方正仿宋_GBK" w:cs="Times New Roman"/>
          <w:color w:val="000000" w:themeColor="text1"/>
          <w:sz w:val="32"/>
          <w:szCs w:val="32"/>
          <w:highlight w:val="none"/>
          <w14:textFill>
            <w14:solidFill>
              <w14:schemeClr w14:val="tx1"/>
            </w14:solidFill>
          </w14:textFill>
        </w:rPr>
        <w:t>未尽事宜依照《招标拍卖</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挂牌</w:t>
      </w:r>
      <w:r>
        <w:rPr>
          <w:rFonts w:ascii="Times New Roman" w:hAnsi="Times New Roman" w:eastAsia="方正仿宋_GBK" w:cs="Times New Roman"/>
          <w:color w:val="000000" w:themeColor="text1"/>
          <w:sz w:val="32"/>
          <w:szCs w:val="32"/>
          <w:highlight w:val="none"/>
          <w14:textFill>
            <w14:solidFill>
              <w14:schemeClr w14:val="tx1"/>
            </w14:solidFill>
          </w14:textFill>
        </w:rPr>
        <w:t>出让国有建设用地使用权规定》</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（原</w:t>
      </w:r>
      <w:r>
        <w:rPr>
          <w:rFonts w:ascii="Times New Roman" w:hAnsi="Times New Roman" w:eastAsia="方正仿宋_GBK" w:cs="Times New Roman"/>
          <w:color w:val="000000" w:themeColor="text1"/>
          <w:sz w:val="32"/>
          <w:szCs w:val="32"/>
          <w:highlight w:val="none"/>
          <w14:textFill>
            <w14:solidFill>
              <w14:schemeClr w14:val="tx1"/>
            </w14:solidFill>
          </w14:textFill>
        </w:rPr>
        <w:t>国土资源部令</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第</w:t>
      </w:r>
      <w:r>
        <w:rPr>
          <w:rFonts w:ascii="Times New Roman" w:hAnsi="Times New Roman" w:eastAsia="方正仿宋_GBK" w:cs="Times New Roman"/>
          <w:color w:val="000000" w:themeColor="text1"/>
          <w:sz w:val="32"/>
          <w:szCs w:val="32"/>
          <w:highlight w:val="none"/>
          <w14:textFill>
            <w14:solidFill>
              <w14:schemeClr w14:val="tx1"/>
            </w14:solidFill>
          </w14:textFill>
        </w:rPr>
        <w:t>39号）办理。</w:t>
      </w:r>
    </w:p>
    <w:p>
      <w:pPr>
        <w:widowControl/>
        <w:spacing w:line="600" w:lineRule="exact"/>
        <w:ind w:firstLine="1920" w:firstLineChars="600"/>
        <w:rPr>
          <w:rFonts w:ascii="Times New Roman" w:hAnsi="Times New Roman" w:eastAsia="方正仿宋_GBK" w:cs="Times New Roman"/>
          <w:color w:val="000000" w:themeColor="text1"/>
          <w:sz w:val="32"/>
          <w:szCs w:val="32"/>
          <w:highlight w:val="none"/>
          <w14:textFill>
            <w14:solidFill>
              <w14:schemeClr w14:val="tx1"/>
            </w14:solidFill>
          </w14:textFill>
        </w:r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资阳市政府政务服务和公共资源交易服务中心 </w:t>
      </w:r>
    </w:p>
    <w:p>
      <w:pPr>
        <w:widowControl/>
        <w:spacing w:line="600" w:lineRule="exact"/>
        <w:ind w:firstLine="640" w:firstLineChars="200"/>
        <w:rPr>
          <w:color w:val="000000" w:themeColor="text1"/>
          <w:highlight w:val="none"/>
          <w14:textFill>
            <w14:solidFill>
              <w14:schemeClr w14:val="tx1"/>
            </w14:solidFill>
          </w14:textFill>
        </w:rPr>
        <w:sectPr>
          <w:footerReference r:id="rId5" w:type="default"/>
          <w:pgSz w:w="11906" w:h="16838"/>
          <w:pgMar w:top="2098" w:right="1474" w:bottom="1985" w:left="1588" w:header="851" w:footer="1247" w:gutter="0"/>
          <w:pgNumType w:start="1"/>
          <w:cols w:space="720" w:num="1"/>
          <w:docGrid w:linePitch="312" w:charSpace="0"/>
        </w:sectPr>
      </w:pP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   　　　　　　　　  </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 xml:space="preserve">   </w:t>
      </w:r>
      <w:r>
        <w:rPr>
          <w:rFonts w:ascii="Times New Roman" w:hAnsi="Times New Roman" w:eastAsia="方正仿宋_GBK" w:cs="Times New Roman"/>
          <w:color w:val="000000" w:themeColor="text1"/>
          <w:sz w:val="32"/>
          <w:szCs w:val="32"/>
          <w:highlight w:val="none"/>
          <w14:textFill>
            <w14:solidFill>
              <w14:schemeClr w14:val="tx1"/>
            </w14:solidFill>
          </w14:textFill>
        </w:rPr>
        <w:t xml:space="preserve"> 20</w:t>
      </w:r>
      <w:r>
        <w:rPr>
          <w:rFonts w:hint="eastAsia" w:ascii="Times New Roman" w:hAnsi="Times New Roman" w:eastAsia="方正仿宋_GBK" w:cs="Times New Roman"/>
          <w:color w:val="000000" w:themeColor="text1"/>
          <w:sz w:val="32"/>
          <w:szCs w:val="32"/>
          <w:highlight w:val="none"/>
          <w14:textFill>
            <w14:solidFill>
              <w14:schemeClr w14:val="tx1"/>
            </w14:solidFill>
          </w14:textFill>
        </w:rPr>
        <w:t>2</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3</w:t>
      </w:r>
      <w:r>
        <w:rPr>
          <w:rFonts w:ascii="Times New Roman" w:hAnsi="Times New Roman" w:eastAsia="方正仿宋_GBK" w:cs="Times New Roman"/>
          <w:color w:val="000000" w:themeColor="text1"/>
          <w:sz w:val="32"/>
          <w:szCs w:val="32"/>
          <w:highlight w:val="none"/>
          <w14:textFill>
            <w14:solidFill>
              <w14:schemeClr w14:val="tx1"/>
            </w14:solidFill>
          </w14:textFill>
        </w:rPr>
        <w:t>年</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5</w:t>
      </w:r>
      <w:r>
        <w:rPr>
          <w:rFonts w:ascii="Times New Roman" w:hAnsi="Times New Roman" w:eastAsia="方正仿宋_GBK" w:cs="Times New Roman"/>
          <w:color w:val="000000" w:themeColor="text1"/>
          <w:sz w:val="32"/>
          <w:szCs w:val="32"/>
          <w:highlight w:val="none"/>
          <w14:textFill>
            <w14:solidFill>
              <w14:schemeClr w14:val="tx1"/>
            </w14:solidFill>
          </w14:textFill>
        </w:rPr>
        <w:t>月</w:t>
      </w:r>
      <w:r>
        <w:rPr>
          <w:rFonts w:hint="eastAsia" w:ascii="Times New Roman" w:hAnsi="Times New Roman" w:eastAsia="方正仿宋_GBK" w:cs="Times New Roman"/>
          <w:color w:val="000000" w:themeColor="text1"/>
          <w:sz w:val="32"/>
          <w:szCs w:val="32"/>
          <w:highlight w:val="none"/>
          <w:lang w:val="en-US" w:eastAsia="zh-CN"/>
          <w14:textFill>
            <w14:solidFill>
              <w14:schemeClr w14:val="tx1"/>
            </w14:solidFill>
          </w14:textFill>
        </w:rPr>
        <w:t>9</w:t>
      </w:r>
      <w:r>
        <w:rPr>
          <w:rFonts w:ascii="Times New Roman" w:hAnsi="Times New Roman" w:eastAsia="方正仿宋_GBK" w:cs="Times New Roman"/>
          <w:color w:val="000000" w:themeColor="text1"/>
          <w:sz w:val="32"/>
          <w:szCs w:val="32"/>
          <w:highlight w:val="none"/>
          <w14:textFill>
            <w14:solidFill>
              <w14:schemeClr w14:val="tx1"/>
            </w14:solidFill>
          </w14:textFill>
        </w:rPr>
        <w:t>日</w:t>
      </w:r>
    </w:p>
    <w:p>
      <w:pPr>
        <w:pStyle w:val="2"/>
        <w:ind w:firstLine="0" w:firstLineChars="0"/>
        <w:rPr>
          <w:rFonts w:hint="eastAsia" w:ascii="Times New Roman" w:hAnsi="Times New Roman" w:eastAsia="宋体" w:cs="宋体"/>
          <w:color w:val="000000"/>
          <w:szCs w:val="32"/>
          <w:highlight w:val="none"/>
        </w:rPr>
        <w:sectPr>
          <w:footerReference r:id="rId6" w:type="default"/>
          <w:pgSz w:w="11906" w:h="16838"/>
          <w:pgMar w:top="2098" w:right="1474" w:bottom="1985" w:left="1588" w:header="851" w:footer="1247" w:gutter="0"/>
          <w:cols w:space="720" w:num="1"/>
          <w:docGrid w:linePitch="312" w:charSpace="0"/>
        </w:sectPr>
      </w:pPr>
      <w:r>
        <w:rPr>
          <w:rFonts w:hint="eastAsia"/>
          <w:highlight w:val="none"/>
        </w:rPr>
        <w:drawing>
          <wp:anchor distT="0" distB="0" distL="114300" distR="114300" simplePos="0" relativeHeight="251664384" behindDoc="0" locked="0" layoutInCell="1" allowOverlap="1">
            <wp:simplePos x="0" y="0"/>
            <wp:positionH relativeFrom="column">
              <wp:posOffset>-20320</wp:posOffset>
            </wp:positionH>
            <wp:positionV relativeFrom="paragraph">
              <wp:posOffset>523875</wp:posOffset>
            </wp:positionV>
            <wp:extent cx="5715000" cy="4427220"/>
            <wp:effectExtent l="0" t="0" r="0" b="7620"/>
            <wp:wrapNone/>
            <wp:docPr id="16" name="图片 2" descr="0ffe38eea09ead356e2fc71fb8d91d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2" descr="0ffe38eea09ead356e2fc71fb8d91d1"/>
                    <pic:cNvPicPr>
                      <a:picLocks noChangeAspect="true"/>
                    </pic:cNvPicPr>
                  </pic:nvPicPr>
                  <pic:blipFill>
                    <a:blip r:embed="rId10"/>
                    <a:srcRect l="7507" t="513" r="5389" b="3990"/>
                    <a:stretch>
                      <a:fillRect/>
                    </a:stretch>
                  </pic:blipFill>
                  <pic:spPr>
                    <a:xfrm>
                      <a:off x="0" y="0"/>
                      <a:ext cx="5715000" cy="4427220"/>
                    </a:xfrm>
                    <a:prstGeom prst="rect">
                      <a:avLst/>
                    </a:prstGeom>
                    <a:noFill/>
                    <a:ln>
                      <a:noFill/>
                    </a:ln>
                  </pic:spPr>
                </pic:pic>
              </a:graphicData>
            </a:graphic>
          </wp:anchor>
        </w:drawing>
      </w:r>
    </w:p>
    <w:p>
      <w:pPr>
        <w:rPr>
          <w:rFonts w:ascii="宋体" w:hAnsi="宋体" w:eastAsia="宋体"/>
          <w:b/>
          <w:bCs/>
          <w:highlight w:val="none"/>
        </w:rPr>
      </w:pPr>
      <w:r>
        <w:rPr>
          <w:rFonts w:hint="eastAsia" w:ascii="Times New Roman" w:hAnsi="Times New Roman" w:eastAsia="方正黑体_GBK"/>
          <w:sz w:val="32"/>
          <w:szCs w:val="32"/>
          <w:highlight w:val="none"/>
        </w:rPr>
        <w:drawing>
          <wp:anchor distT="0" distB="0" distL="114300" distR="114300" simplePos="0" relativeHeight="251665408" behindDoc="0" locked="0" layoutInCell="1" allowOverlap="1">
            <wp:simplePos x="0" y="0"/>
            <wp:positionH relativeFrom="column">
              <wp:posOffset>-1270</wp:posOffset>
            </wp:positionH>
            <wp:positionV relativeFrom="paragraph">
              <wp:posOffset>74295</wp:posOffset>
            </wp:positionV>
            <wp:extent cx="5375275" cy="7504430"/>
            <wp:effectExtent l="0" t="0" r="4445" b="8890"/>
            <wp:wrapNone/>
            <wp:docPr id="17" name="图片 3" descr="3680df8793cb30f60987d2d94a8548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3" descr="3680df8793cb30f60987d2d94a8548e"/>
                    <pic:cNvPicPr>
                      <a:picLocks noChangeAspect="true"/>
                    </pic:cNvPicPr>
                  </pic:nvPicPr>
                  <pic:blipFill>
                    <a:blip r:embed="rId11"/>
                    <a:stretch>
                      <a:fillRect/>
                    </a:stretch>
                  </pic:blipFill>
                  <pic:spPr>
                    <a:xfrm>
                      <a:off x="0" y="0"/>
                      <a:ext cx="5375275" cy="7504430"/>
                    </a:xfrm>
                    <a:prstGeom prst="rect">
                      <a:avLst/>
                    </a:prstGeom>
                    <a:noFill/>
                    <a:ln>
                      <a:noFill/>
                    </a:ln>
                  </pic:spPr>
                </pic:pic>
              </a:graphicData>
            </a:graphic>
          </wp:anchor>
        </w:drawing>
      </w:r>
      <w:r>
        <w:rPr>
          <w:rFonts w:ascii="Times New Roman" w:hAnsi="Times New Roman"/>
          <w:highlight w:val="none"/>
        </w:rPr>
        <w:br w:type="page"/>
      </w: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rFonts w:hint="eastAsia"/>
          <w:highlight w:val="none"/>
        </w:rPr>
        <w:drawing>
          <wp:anchor distT="0" distB="0" distL="114300" distR="114300" simplePos="0" relativeHeight="251666432" behindDoc="0" locked="0" layoutInCell="1" allowOverlap="1">
            <wp:simplePos x="0" y="0"/>
            <wp:positionH relativeFrom="column">
              <wp:posOffset>36830</wp:posOffset>
            </wp:positionH>
            <wp:positionV relativeFrom="paragraph">
              <wp:posOffset>320675</wp:posOffset>
            </wp:positionV>
            <wp:extent cx="5610860" cy="7931785"/>
            <wp:effectExtent l="0" t="0" r="12700" b="8255"/>
            <wp:wrapNone/>
            <wp:docPr id="18" name="图片 4" descr="49e3834eabeb496068964acf611725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图片 4" descr="49e3834eabeb496068964acf6117257"/>
                    <pic:cNvPicPr>
                      <a:picLocks noChangeAspect="true"/>
                    </pic:cNvPicPr>
                  </pic:nvPicPr>
                  <pic:blipFill>
                    <a:blip r:embed="rId12"/>
                    <a:stretch>
                      <a:fillRect/>
                    </a:stretch>
                  </pic:blipFill>
                  <pic:spPr>
                    <a:xfrm>
                      <a:off x="0" y="0"/>
                      <a:ext cx="5610860" cy="7931785"/>
                    </a:xfrm>
                    <a:prstGeom prst="rect">
                      <a:avLst/>
                    </a:prstGeom>
                    <a:noFill/>
                    <a:ln>
                      <a:noFill/>
                    </a:ln>
                  </pic:spPr>
                </pic:pic>
              </a:graphicData>
            </a:graphic>
          </wp:anchor>
        </w:drawing>
      </w:r>
    </w:p>
    <w:p>
      <w:pPr>
        <w:pStyle w:val="2"/>
        <w:ind w:firstLine="210"/>
        <w:rPr>
          <w:rFonts w:hint="eastAsia" w:eastAsia="宋体"/>
          <w:highlight w:val="none"/>
        </w:rPr>
        <w:sectPr>
          <w:pgSz w:w="11906" w:h="16838"/>
          <w:pgMar w:top="2098" w:right="1474" w:bottom="1985" w:left="1588" w:header="851" w:footer="1247" w:gutter="0"/>
          <w:cols w:space="720" w:num="1"/>
          <w:docGrid w:linePitch="312" w:charSpace="0"/>
        </w:sectPr>
      </w:pPr>
      <w:r>
        <w:rPr>
          <w:rFonts w:hint="eastAsia" w:ascii="Times New Roman" w:hAnsi="Times New Roman" w:eastAsia="方正黑体_GBK"/>
          <w:sz w:val="32"/>
          <w:szCs w:val="32"/>
          <w:highlight w:val="none"/>
        </w:rPr>
        <w:drawing>
          <wp:anchor distT="0" distB="0" distL="114300" distR="114300" simplePos="0" relativeHeight="251667456" behindDoc="0" locked="0" layoutInCell="1" allowOverlap="1">
            <wp:simplePos x="0" y="0"/>
            <wp:positionH relativeFrom="column">
              <wp:posOffset>46355</wp:posOffset>
            </wp:positionH>
            <wp:positionV relativeFrom="paragraph">
              <wp:posOffset>149225</wp:posOffset>
            </wp:positionV>
            <wp:extent cx="5610860" cy="7931785"/>
            <wp:effectExtent l="68580" t="33020" r="81280" b="51435"/>
            <wp:wrapNone/>
            <wp:docPr id="19" name="图片 5" descr="e86ec6ffe158bb33d887c94568e4ffc"/>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图片 5" descr="e86ec6ffe158bb33d887c94568e4ffc"/>
                    <pic:cNvPicPr>
                      <a:picLocks noChangeAspect="true"/>
                    </pic:cNvPicPr>
                  </pic:nvPicPr>
                  <pic:blipFill>
                    <a:blip r:embed="rId13"/>
                    <a:stretch>
                      <a:fillRect/>
                    </a:stretch>
                  </pic:blipFill>
                  <pic:spPr>
                    <a:xfrm rot="21540000">
                      <a:off x="0" y="0"/>
                      <a:ext cx="5610860" cy="7931785"/>
                    </a:xfrm>
                    <a:prstGeom prst="rect">
                      <a:avLst/>
                    </a:prstGeom>
                    <a:noFill/>
                    <a:ln>
                      <a:noFill/>
                    </a:ln>
                  </pic:spPr>
                </pic:pic>
              </a:graphicData>
            </a:graphic>
          </wp:anchor>
        </w:drawing>
      </w:r>
    </w:p>
    <w:p>
      <w:pPr>
        <w:pStyle w:val="2"/>
        <w:ind w:left="0" w:leftChars="0" w:firstLine="0" w:firstLineChars="0"/>
        <w:rPr>
          <w:rFonts w:hint="eastAsia" w:eastAsia="宋体"/>
          <w:highlight w:val="none"/>
        </w:rPr>
        <w:sectPr>
          <w:pgSz w:w="11906" w:h="16838"/>
          <w:pgMar w:top="2098" w:right="1474" w:bottom="1985" w:left="1588" w:header="851" w:footer="1247" w:gutter="0"/>
          <w:cols w:space="720" w:num="1"/>
          <w:docGrid w:linePitch="312" w:charSpace="0"/>
        </w:sectPr>
      </w:pPr>
      <w:r>
        <w:rPr>
          <w:rFonts w:hint="eastAsia" w:ascii="Times New Roman" w:hAnsi="Times New Roman" w:eastAsia="方正黑体_GBK"/>
          <w:sz w:val="32"/>
          <w:szCs w:val="32"/>
          <w:highlight w:val="none"/>
        </w:rPr>
        <w:drawing>
          <wp:anchor distT="0" distB="0" distL="114300" distR="114300" simplePos="0" relativeHeight="251668480" behindDoc="0" locked="0" layoutInCell="1" allowOverlap="1">
            <wp:simplePos x="0" y="0"/>
            <wp:positionH relativeFrom="column">
              <wp:posOffset>27305</wp:posOffset>
            </wp:positionH>
            <wp:positionV relativeFrom="paragraph">
              <wp:posOffset>-692150</wp:posOffset>
            </wp:positionV>
            <wp:extent cx="5610860" cy="8569960"/>
            <wp:effectExtent l="0" t="0" r="12700" b="10160"/>
            <wp:wrapNone/>
            <wp:docPr id="20" name="图片 6" descr="60ea67ce10422c0672aaca26d9eaef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0" name="图片 6" descr="60ea67ce10422c0672aaca26d9eaef1"/>
                    <pic:cNvPicPr>
                      <a:picLocks noChangeAspect="true"/>
                    </pic:cNvPicPr>
                  </pic:nvPicPr>
                  <pic:blipFill>
                    <a:blip r:embed="rId14"/>
                    <a:stretch>
                      <a:fillRect/>
                    </a:stretch>
                  </pic:blipFill>
                  <pic:spPr>
                    <a:xfrm>
                      <a:off x="0" y="0"/>
                      <a:ext cx="5610860" cy="8569960"/>
                    </a:xfrm>
                    <a:prstGeom prst="rect">
                      <a:avLst/>
                    </a:prstGeom>
                    <a:noFill/>
                    <a:ln>
                      <a:noFill/>
                    </a:ln>
                  </pic:spPr>
                </pic:pic>
              </a:graphicData>
            </a:graphic>
          </wp:anchor>
        </w:drawing>
      </w:r>
    </w:p>
    <w:p>
      <w:pPr>
        <w:pStyle w:val="2"/>
        <w:ind w:left="0" w:leftChars="0" w:firstLine="0" w:firstLineChars="0"/>
        <w:rPr>
          <w:rFonts w:eastAsia="方正仿宋_GBK"/>
          <w:sz w:val="33"/>
          <w:szCs w:val="33"/>
          <w:highlight w:val="none"/>
        </w:rPr>
      </w:pPr>
      <w:r>
        <w:rPr>
          <w:rFonts w:hint="eastAsia" w:eastAsia="方正黑体_GBK"/>
          <w:sz w:val="32"/>
          <w:szCs w:val="32"/>
          <w:highlight w:val="none"/>
        </w:rPr>
        <w:drawing>
          <wp:anchor distT="0" distB="0" distL="114300" distR="114300" simplePos="0" relativeHeight="251669504" behindDoc="0" locked="0" layoutInCell="1" allowOverlap="1">
            <wp:simplePos x="0" y="0"/>
            <wp:positionH relativeFrom="column">
              <wp:posOffset>-1270</wp:posOffset>
            </wp:positionH>
            <wp:positionV relativeFrom="paragraph">
              <wp:posOffset>198755</wp:posOffset>
            </wp:positionV>
            <wp:extent cx="5610860" cy="7931785"/>
            <wp:effectExtent l="0" t="0" r="12700" b="8255"/>
            <wp:wrapNone/>
            <wp:docPr id="21" name="图片 7" descr="410a4ace4439c731cb18202eadde6c1"/>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1" name="图片 7" descr="410a4ace4439c731cb18202eadde6c1"/>
                    <pic:cNvPicPr>
                      <a:picLocks noChangeAspect="true"/>
                    </pic:cNvPicPr>
                  </pic:nvPicPr>
                  <pic:blipFill>
                    <a:blip r:embed="rId15"/>
                    <a:stretch>
                      <a:fillRect/>
                    </a:stretch>
                  </pic:blipFill>
                  <pic:spPr>
                    <a:xfrm>
                      <a:off x="0" y="0"/>
                      <a:ext cx="5610860" cy="7931785"/>
                    </a:xfrm>
                    <a:prstGeom prst="rect">
                      <a:avLst/>
                    </a:prstGeom>
                    <a:noFill/>
                    <a:ln>
                      <a:noFill/>
                    </a:ln>
                  </pic:spPr>
                </pic:pic>
              </a:graphicData>
            </a:graphic>
          </wp:anchor>
        </w:drawing>
      </w:r>
    </w:p>
    <w:p>
      <w:pPr>
        <w:pStyle w:val="2"/>
        <w:ind w:left="0" w:leftChars="0" w:firstLine="0" w:firstLineChars="0"/>
        <w:rPr>
          <w:rFonts w:eastAsia="方正仿宋_GBK"/>
          <w:sz w:val="33"/>
          <w:szCs w:val="33"/>
          <w:highlight w:val="none"/>
        </w:rPr>
      </w:pPr>
    </w:p>
    <w:p>
      <w:pPr>
        <w:pStyle w:val="2"/>
        <w:ind w:left="0" w:leftChars="0" w:firstLine="0" w:firstLineChars="0"/>
        <w:rPr>
          <w:rFonts w:eastAsia="方正仿宋_GBK"/>
          <w:sz w:val="33"/>
          <w:szCs w:val="33"/>
          <w:highlight w:val="none"/>
        </w:rPr>
      </w:pPr>
    </w:p>
    <w:p>
      <w:pPr>
        <w:pStyle w:val="2"/>
        <w:ind w:left="0" w:leftChars="0" w:firstLine="0" w:firstLineChars="0"/>
        <w:rPr>
          <w:rFonts w:hint="eastAsia" w:eastAsia="方正仿宋_GBK"/>
          <w:sz w:val="33"/>
          <w:szCs w:val="33"/>
          <w:highlight w:val="none"/>
        </w:rPr>
        <w:sectPr>
          <w:pgSz w:w="11906" w:h="16838"/>
          <w:pgMar w:top="2098" w:right="1474" w:bottom="1985" w:left="1588" w:header="851" w:footer="1247" w:gutter="0"/>
          <w:cols w:space="720" w:num="1"/>
          <w:docGrid w:linePitch="312" w:charSpace="0"/>
        </w:sectPr>
      </w:pPr>
    </w:p>
    <w:p>
      <w:pPr>
        <w:widowControl/>
        <w:spacing w:line="480" w:lineRule="exact"/>
        <w:jc w:val="left"/>
        <w:rPr>
          <w:rFonts w:hint="eastAsia" w:ascii="方正小标宋_GBK" w:hAnsi="方正仿宋_GBK" w:eastAsia="方正小标宋_GBK" w:cs="方正仿宋_GBK"/>
          <w:spacing w:val="74"/>
          <w:sz w:val="44"/>
          <w:szCs w:val="44"/>
          <w:highlight w:val="none"/>
        </w:rPr>
      </w:pPr>
      <w:r>
        <w:rPr>
          <w:rFonts w:hint="eastAsia" w:eastAsia="方正小标宋简体"/>
          <w:sz w:val="40"/>
          <w:szCs w:val="44"/>
          <w:highlight w:val="none"/>
        </w:rPr>
        <w:drawing>
          <wp:anchor distT="0" distB="0" distL="114300" distR="114300" simplePos="0" relativeHeight="251670528" behindDoc="0" locked="0" layoutInCell="1" allowOverlap="1">
            <wp:simplePos x="0" y="0"/>
            <wp:positionH relativeFrom="column">
              <wp:posOffset>-39370</wp:posOffset>
            </wp:positionH>
            <wp:positionV relativeFrom="paragraph">
              <wp:posOffset>174625</wp:posOffset>
            </wp:positionV>
            <wp:extent cx="5610860" cy="7931785"/>
            <wp:effectExtent l="0" t="0" r="12700" b="8255"/>
            <wp:wrapNone/>
            <wp:docPr id="22" name="图片 8" descr="3408f1e6104ffd2d459b2879b6fce6d"/>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2" name="图片 8" descr="3408f1e6104ffd2d459b2879b6fce6d"/>
                    <pic:cNvPicPr>
                      <a:picLocks noChangeAspect="true"/>
                    </pic:cNvPicPr>
                  </pic:nvPicPr>
                  <pic:blipFill>
                    <a:blip r:embed="rId16"/>
                    <a:stretch>
                      <a:fillRect/>
                    </a:stretch>
                  </pic:blipFill>
                  <pic:spPr>
                    <a:xfrm>
                      <a:off x="0" y="0"/>
                      <a:ext cx="5610860" cy="7931785"/>
                    </a:xfrm>
                    <a:prstGeom prst="rect">
                      <a:avLst/>
                    </a:prstGeom>
                    <a:noFill/>
                    <a:ln>
                      <a:noFill/>
                    </a:ln>
                  </pic:spPr>
                </pic:pic>
              </a:graphicData>
            </a:graphic>
          </wp:anchor>
        </w:drawing>
      </w: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left"/>
        <w:rPr>
          <w:rFonts w:hint="eastAsia" w:ascii="方正小标宋_GBK" w:hAnsi="方正仿宋_GBK" w:eastAsia="方正小标宋_GBK" w:cs="方正仿宋_GBK"/>
          <w:spacing w:val="74"/>
          <w:sz w:val="44"/>
          <w:szCs w:val="44"/>
          <w:highlight w:val="none"/>
        </w:rPr>
      </w:pPr>
      <w:r>
        <w:rPr>
          <w:rFonts w:hint="eastAsia" w:eastAsia="方正小标宋简体"/>
          <w:sz w:val="40"/>
          <w:szCs w:val="44"/>
          <w:highlight w:val="none"/>
        </w:rPr>
        <w:drawing>
          <wp:anchor distT="0" distB="0" distL="114300" distR="114300" simplePos="0" relativeHeight="251671552" behindDoc="0" locked="0" layoutInCell="1" allowOverlap="1">
            <wp:simplePos x="0" y="0"/>
            <wp:positionH relativeFrom="column">
              <wp:posOffset>-29845</wp:posOffset>
            </wp:positionH>
            <wp:positionV relativeFrom="paragraph">
              <wp:posOffset>-608965</wp:posOffset>
            </wp:positionV>
            <wp:extent cx="5610860" cy="8702675"/>
            <wp:effectExtent l="0" t="0" r="12700" b="14605"/>
            <wp:wrapNone/>
            <wp:docPr id="23" name="图片 9" descr="7039abe120b8b77e0e8d8a038502e8b"/>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3" name="图片 9" descr="7039abe120b8b77e0e8d8a038502e8b"/>
                    <pic:cNvPicPr>
                      <a:picLocks noChangeAspect="true"/>
                    </pic:cNvPicPr>
                  </pic:nvPicPr>
                  <pic:blipFill>
                    <a:blip r:embed="rId17"/>
                    <a:stretch>
                      <a:fillRect/>
                    </a:stretch>
                  </pic:blipFill>
                  <pic:spPr>
                    <a:xfrm>
                      <a:off x="0" y="0"/>
                      <a:ext cx="5610860" cy="8702675"/>
                    </a:xfrm>
                    <a:prstGeom prst="rect">
                      <a:avLst/>
                    </a:prstGeom>
                    <a:noFill/>
                    <a:ln>
                      <a:noFill/>
                    </a:ln>
                  </pic:spPr>
                </pic:pic>
              </a:graphicData>
            </a:graphic>
          </wp:anchor>
        </w:drawing>
      </w: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center"/>
        <w:rPr>
          <w:rFonts w:hint="eastAsia" w:ascii="方正小标宋_GBK" w:hAnsi="方正仿宋_GBK" w:eastAsia="方正小标宋_GBK" w:cs="方正仿宋_GBK"/>
          <w:spacing w:val="74"/>
          <w:sz w:val="44"/>
          <w:szCs w:val="44"/>
          <w:highlight w:val="none"/>
        </w:rPr>
      </w:pPr>
    </w:p>
    <w:p>
      <w:pPr>
        <w:widowControl/>
        <w:spacing w:line="480" w:lineRule="exact"/>
        <w:jc w:val="both"/>
        <w:rPr>
          <w:rFonts w:hint="eastAsia" w:ascii="方正小标宋_GBK" w:hAnsi="方正仿宋_GBK" w:eastAsia="方正小标宋_GBK" w:cs="方正仿宋_GBK"/>
          <w:spacing w:val="74"/>
          <w:sz w:val="44"/>
          <w:szCs w:val="44"/>
          <w:highlight w:val="none"/>
        </w:rPr>
      </w:pPr>
    </w:p>
    <w:p>
      <w:pPr>
        <w:pStyle w:val="2"/>
        <w:rPr>
          <w:rFonts w:hint="eastAsia" w:ascii="方正小标宋_GBK" w:hAnsi="方正仿宋_GBK" w:eastAsia="方正小标宋_GBK" w:cs="方正仿宋_GBK"/>
          <w:spacing w:val="74"/>
          <w:sz w:val="44"/>
          <w:szCs w:val="44"/>
          <w:highlight w:val="none"/>
        </w:rPr>
      </w:pPr>
      <w:r>
        <w:rPr>
          <w:rFonts w:hint="eastAsia" w:eastAsia="方正小标宋简体"/>
          <w:sz w:val="40"/>
          <w:szCs w:val="44"/>
          <w:highlight w:val="none"/>
        </w:rPr>
        <w:drawing>
          <wp:inline distT="0" distB="0" distL="114300" distR="114300">
            <wp:extent cx="5610860" cy="7931785"/>
            <wp:effectExtent l="0" t="0" r="12700" b="8255"/>
            <wp:docPr id="2" name="图片 2" descr="edfb5d1c0c3512c6b06d163b94dc44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 name="图片 2" descr="edfb5d1c0c3512c6b06d163b94dc448"/>
                    <pic:cNvPicPr>
                      <a:picLocks noChangeAspect="true"/>
                    </pic:cNvPicPr>
                  </pic:nvPicPr>
                  <pic:blipFill>
                    <a:blip r:embed="rId18"/>
                    <a:stretch>
                      <a:fillRect/>
                    </a:stretch>
                  </pic:blipFill>
                  <pic:spPr>
                    <a:xfrm>
                      <a:off x="0" y="0"/>
                      <a:ext cx="5610860" cy="7931785"/>
                    </a:xfrm>
                    <a:prstGeom prst="rect">
                      <a:avLst/>
                    </a:prstGeom>
                    <a:noFill/>
                    <a:ln>
                      <a:noFill/>
                    </a:ln>
                  </pic:spPr>
                </pic:pic>
              </a:graphicData>
            </a:graphic>
          </wp:inline>
        </w:drawing>
      </w:r>
    </w:p>
    <w:p>
      <w:pPr>
        <w:widowControl/>
        <w:spacing w:line="480" w:lineRule="exact"/>
        <w:jc w:val="center"/>
        <w:rPr>
          <w:rFonts w:ascii="方正小标宋_GBK" w:hAnsi="Times New Roman" w:eastAsia="方正小标宋_GBK" w:cs="Times New Roman"/>
          <w:spacing w:val="74"/>
          <w:sz w:val="44"/>
          <w:szCs w:val="44"/>
          <w:highlight w:val="none"/>
        </w:rPr>
      </w:pPr>
      <w:r>
        <w:rPr>
          <w:rFonts w:hint="eastAsia" w:ascii="方正小标宋_GBK" w:hAnsi="方正仿宋_GBK" w:eastAsia="方正小标宋_GBK" w:cs="方正仿宋_GBK"/>
          <w:spacing w:val="74"/>
          <w:sz w:val="44"/>
          <w:szCs w:val="44"/>
          <w:highlight w:val="none"/>
        </w:rPr>
        <w:t>竞买申请书</w:t>
      </w:r>
    </w:p>
    <w:p>
      <w:pPr>
        <w:widowControl/>
        <w:autoSpaceDE w:val="0"/>
        <w:spacing w:line="460" w:lineRule="exact"/>
        <w:rPr>
          <w:rFonts w:ascii="Times New Roman" w:hAnsi="Times New Roman" w:eastAsia="方正仿宋_GBK" w:cs="Times New Roman"/>
          <w:sz w:val="32"/>
          <w:szCs w:val="32"/>
          <w:highlight w:val="none"/>
        </w:rPr>
      </w:pPr>
      <w:r>
        <w:rPr>
          <w:rFonts w:ascii="Times New Roman" w:hAnsi="Times New Roman" w:eastAsia="方正仿宋_GBK" w:cs="Times New Roman"/>
          <w:color w:val="000000" w:themeColor="text1"/>
          <w:sz w:val="32"/>
          <w:szCs w:val="32"/>
          <w:highlight w:val="none"/>
          <w:u w:val="single"/>
          <w14:textFill>
            <w14:solidFill>
              <w14:schemeClr w14:val="tx1"/>
            </w14:solidFill>
          </w14:textFill>
        </w:rPr>
        <w:t>资阳市政府政务服务和公共资源交易服务中心</w:t>
      </w:r>
      <w:r>
        <w:rPr>
          <w:rFonts w:hint="eastAsia" w:ascii="方正仿宋_GBK" w:hAnsi="方正仿宋_GBK" w:eastAsia="方正仿宋_GBK" w:cs="方正仿宋_GBK"/>
          <w:sz w:val="32"/>
          <w:szCs w:val="32"/>
          <w:highlight w:val="none"/>
        </w:rPr>
        <w:t>：</w:t>
      </w:r>
    </w:p>
    <w:p>
      <w:pPr>
        <w:widowControl/>
        <w:autoSpaceDE w:val="0"/>
        <w:spacing w:line="52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经认真阅读编号</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为</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LKYD—2022—0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31</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号宗地的拍卖出让文件，</w:t>
      </w:r>
      <w:r>
        <w:rPr>
          <w:rFonts w:hint="eastAsia" w:ascii="方正仿宋_GBK" w:hAnsi="方正仿宋_GBK" w:eastAsia="方正仿宋_GBK" w:cs="方正仿宋_GBK"/>
          <w:sz w:val="32"/>
          <w:szCs w:val="32"/>
          <w:highlight w:val="none"/>
        </w:rPr>
        <w:t>我方完全接受并愿意遵守此次国有建设用地使用权拍卖出让文件中的规定和要求。我方已到现场进行踏勘，</w:t>
      </w:r>
      <w:r>
        <w:rPr>
          <w:rFonts w:hint="eastAsia" w:ascii="Times New Roman" w:hAnsi="Times New Roman" w:eastAsia="方正仿宋_GBK" w:cs="Times New Roman"/>
          <w:spacing w:val="-6"/>
          <w:sz w:val="32"/>
          <w:szCs w:val="32"/>
          <w:highlight w:val="none"/>
        </w:rPr>
        <w:t>接受出让地块现状“净地”条件，</w:t>
      </w:r>
      <w:r>
        <w:rPr>
          <w:rFonts w:ascii="Times New Roman" w:hAnsi="Times New Roman" w:eastAsia="方正仿宋_GBK" w:cs="Times New Roman"/>
          <w:spacing w:val="-6"/>
          <w:sz w:val="32"/>
          <w:szCs w:val="32"/>
          <w:highlight w:val="none"/>
        </w:rPr>
        <w:t>对所有文件均无异议</w:t>
      </w:r>
      <w:r>
        <w:rPr>
          <w:rFonts w:hint="eastAsia" w:ascii="方正仿宋_GBK" w:hAnsi="方正仿宋_GBK" w:eastAsia="方正仿宋_GBK" w:cs="方正仿宋_GBK"/>
          <w:spacing w:val="-6"/>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我方现正式申请参加</w:t>
      </w:r>
      <w:r>
        <w:rPr>
          <w:rFonts w:ascii="Times New Roman" w:hAnsi="Times New Roman" w:eastAsia="方正仿宋_GBK" w:cs="Times New Roman"/>
          <w:color w:val="auto"/>
          <w:sz w:val="32"/>
          <w:szCs w:val="32"/>
          <w:highlight w:val="none"/>
          <w:u w:val="single"/>
        </w:rPr>
        <w:t>202</w:t>
      </w:r>
      <w:r>
        <w:rPr>
          <w:rFonts w:hint="eastAsia" w:ascii="Times New Roman" w:hAnsi="Times New Roman" w:eastAsia="方正仿宋_GBK" w:cs="Times New Roman"/>
          <w:color w:val="auto"/>
          <w:sz w:val="32"/>
          <w:szCs w:val="32"/>
          <w:highlight w:val="none"/>
          <w:u w:val="single"/>
          <w:lang w:val="en-US" w:eastAsia="zh-CN"/>
        </w:rPr>
        <w:t>3</w:t>
      </w:r>
      <w:r>
        <w:rPr>
          <w:rFonts w:ascii="Times New Roman" w:hAnsi="Times New Roman" w:eastAsia="方正仿宋_GBK" w:cs="Times New Roman"/>
          <w:color w:val="auto"/>
          <w:sz w:val="32"/>
          <w:szCs w:val="32"/>
          <w:highlight w:val="none"/>
        </w:rPr>
        <w:t>年</w:t>
      </w:r>
      <w:r>
        <w:rPr>
          <w:rFonts w:hint="eastAsia" w:ascii="Times New Roman" w:hAnsi="Times New Roman" w:eastAsia="方正仿宋_GBK" w:cs="Times New Roman"/>
          <w:color w:val="auto"/>
          <w:sz w:val="32"/>
          <w:szCs w:val="32"/>
          <w:highlight w:val="none"/>
          <w:u w:val="single"/>
          <w:lang w:val="en-US" w:eastAsia="zh-CN"/>
        </w:rPr>
        <w:t>XX</w:t>
      </w:r>
      <w:r>
        <w:rPr>
          <w:rFonts w:ascii="Times New Roman" w:hAnsi="Times New Roman" w:eastAsia="方正仿宋_GBK" w:cs="Times New Roman"/>
          <w:color w:val="auto"/>
          <w:sz w:val="32"/>
          <w:szCs w:val="32"/>
          <w:highlight w:val="none"/>
        </w:rPr>
        <w:t>月</w:t>
      </w:r>
      <w:r>
        <w:rPr>
          <w:rFonts w:hint="eastAsia" w:ascii="Times New Roman" w:hAnsi="Times New Roman" w:eastAsia="方正仿宋_GBK" w:cs="Times New Roman"/>
          <w:color w:val="auto"/>
          <w:sz w:val="32"/>
          <w:szCs w:val="32"/>
          <w:highlight w:val="none"/>
          <w:u w:val="single"/>
          <w:lang w:val="en-US" w:eastAsia="zh-CN"/>
        </w:rPr>
        <w:t>XX</w:t>
      </w:r>
      <w:r>
        <w:rPr>
          <w:rFonts w:ascii="Times New Roman" w:hAnsi="Times New Roman" w:eastAsia="方正仿宋_GBK" w:cs="Times New Roman"/>
          <w:color w:val="auto"/>
          <w:sz w:val="32"/>
          <w:szCs w:val="32"/>
          <w:highlight w:val="none"/>
        </w:rPr>
        <w:t>日</w:t>
      </w:r>
      <w:r>
        <w:rPr>
          <w:rFonts w:hint="eastAsia" w:ascii="Times New Roman" w:hAnsi="Times New Roman" w:eastAsia="方正仿宋_GBK" w:cs="Times New Roman"/>
          <w:color w:val="auto"/>
          <w:sz w:val="32"/>
          <w:szCs w:val="32"/>
          <w:highlight w:val="none"/>
          <w:u w:val="single"/>
          <w:lang w:val="en-US" w:eastAsia="zh-CN"/>
        </w:rPr>
        <w:t>XX</w:t>
      </w:r>
      <w:r>
        <w:rPr>
          <w:rFonts w:hint="eastAsia" w:ascii="方正仿宋_GBK" w:hAnsi="方正仿宋_GBK" w:eastAsia="方正仿宋_GBK" w:cs="方正仿宋_GBK"/>
          <w:color w:val="auto"/>
          <w:sz w:val="32"/>
          <w:szCs w:val="32"/>
          <w:highlight w:val="none"/>
        </w:rPr>
        <w:t>时</w:t>
      </w:r>
      <w:r>
        <w:rPr>
          <w:rFonts w:hint="eastAsia" w:ascii="Times New Roman" w:hAnsi="Times New Roman" w:eastAsia="方正仿宋_GBK" w:cs="Times New Roman"/>
          <w:color w:val="auto"/>
          <w:sz w:val="32"/>
          <w:szCs w:val="32"/>
          <w:highlight w:val="none"/>
          <w:u w:val="single"/>
          <w:lang w:val="en-US" w:eastAsia="zh-CN"/>
        </w:rPr>
        <w:t>XX</w:t>
      </w:r>
      <w:r>
        <w:rPr>
          <w:rFonts w:hint="eastAsia" w:ascii="Times New Roman" w:hAnsi="Times New Roman" w:eastAsia="方正仿宋_GBK" w:cs="Times New Roman"/>
          <w:color w:val="auto"/>
          <w:sz w:val="32"/>
          <w:szCs w:val="32"/>
          <w:highlight w:val="none"/>
          <w:u w:val="none"/>
          <w:lang w:val="en-US" w:eastAsia="zh-CN"/>
        </w:rPr>
        <w:t>分</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在</w:t>
      </w:r>
      <w:r>
        <w:rPr>
          <w:rFonts w:hint="default" w:ascii="Times New Roman" w:hAnsi="Times New Roman" w:eastAsia="方正仿宋_GBK" w:cs="Times New Roman"/>
          <w:color w:val="000000" w:themeColor="text1"/>
          <w:sz w:val="32"/>
          <w:szCs w:val="32"/>
          <w:highlight w:val="none"/>
          <w14:textFill>
            <w14:solidFill>
              <w14:schemeClr w14:val="tx1"/>
            </w14:solidFill>
          </w14:textFill>
        </w:rPr>
        <w:t>成都市公共资源交易服务中心（地址：成都市高新区天府大道北段966号天府国际金融中心7号楼）</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举行的</w:t>
      </w:r>
      <w:r>
        <w:rPr>
          <w:rFonts w:hint="eastAsia" w:ascii="Times New Roman" w:hAnsi="Times New Roman" w:eastAsia="方正仿宋_GBK" w:cs="Times New Roman"/>
          <w:color w:val="000000" w:themeColor="text1"/>
          <w:sz w:val="32"/>
          <w:szCs w:val="32"/>
          <w:highlight w:val="none"/>
          <w:u w:val="single"/>
          <w14:textFill>
            <w14:solidFill>
              <w14:schemeClr w14:val="tx1"/>
            </w14:solidFill>
          </w14:textFill>
        </w:rPr>
        <w:t>LKYD—2022—0</w:t>
      </w:r>
      <w:r>
        <w:rPr>
          <w:rFonts w:hint="eastAsia" w:ascii="Times New Roman" w:hAnsi="Times New Roman" w:eastAsia="方正仿宋_GBK" w:cs="Times New Roman"/>
          <w:color w:val="000000" w:themeColor="text1"/>
          <w:sz w:val="32"/>
          <w:szCs w:val="32"/>
          <w:highlight w:val="none"/>
          <w:u w:val="single"/>
          <w:lang w:val="en-US" w:eastAsia="zh-CN"/>
          <w14:textFill>
            <w14:solidFill>
              <w14:schemeClr w14:val="tx1"/>
            </w14:solidFill>
          </w14:textFill>
        </w:rPr>
        <w:t>31</w:t>
      </w:r>
      <w:r>
        <w:rPr>
          <w:rFonts w:hint="eastAsia" w:ascii="方正仿宋_GBK" w:hAnsi="方正仿宋_GBK" w:eastAsia="方正仿宋_GBK" w:cs="方正仿宋_GBK"/>
          <w:color w:val="000000" w:themeColor="text1"/>
          <w:sz w:val="32"/>
          <w:szCs w:val="32"/>
          <w:highlight w:val="none"/>
          <w14:textFill>
            <w14:solidFill>
              <w14:schemeClr w14:val="tx1"/>
            </w14:solidFill>
          </w14:textFill>
        </w:rPr>
        <w:t>号地块国</w:t>
      </w:r>
      <w:r>
        <w:rPr>
          <w:rFonts w:hint="eastAsia" w:ascii="方正仿宋_GBK" w:hAnsi="方正仿宋_GBK" w:eastAsia="方正仿宋_GBK" w:cs="方正仿宋_GBK"/>
          <w:sz w:val="32"/>
          <w:szCs w:val="32"/>
          <w:highlight w:val="none"/>
        </w:rPr>
        <w:t>有建设用地使用权拍卖出让活动。我方愿意按拍卖出让文件规定，交纳竞买保证金人民币</w:t>
      </w:r>
      <w:r>
        <w:rPr>
          <w:rFonts w:hint="eastAsia" w:ascii="Times New Roman" w:hAnsi="Times New Roman" w:eastAsia="方正仿宋_GBK"/>
          <w:sz w:val="32"/>
          <w:szCs w:val="32"/>
          <w:highlight w:val="none"/>
          <w:u w:val="single"/>
          <w:lang w:val="en-US" w:eastAsia="zh-CN"/>
        </w:rPr>
        <w:t>5960</w:t>
      </w:r>
      <w:r>
        <w:rPr>
          <w:rFonts w:hint="eastAsia" w:ascii="方正仿宋_GBK" w:hAnsi="方正仿宋_GBK" w:eastAsia="方正仿宋_GBK" w:cs="方正仿宋_GBK"/>
          <w:sz w:val="32"/>
          <w:szCs w:val="32"/>
          <w:highlight w:val="none"/>
        </w:rPr>
        <w:t>万元（大写：</w:t>
      </w:r>
      <w:r>
        <w:rPr>
          <w:rFonts w:hint="eastAsia" w:ascii="方正仿宋_GBK" w:hAnsi="方正仿宋_GBK" w:eastAsia="方正仿宋_GBK" w:cs="方正仿宋_GBK"/>
          <w:sz w:val="32"/>
          <w:szCs w:val="32"/>
          <w:highlight w:val="none"/>
        </w:rPr>
        <w:fldChar w:fldCharType="begin"/>
      </w:r>
      <w:r>
        <w:rPr>
          <w:rFonts w:hint="eastAsia" w:ascii="方正仿宋_GBK" w:hAnsi="方正仿宋_GBK" w:eastAsia="方正仿宋_GBK" w:cs="方正仿宋_GBK"/>
          <w:sz w:val="32"/>
          <w:szCs w:val="32"/>
          <w:highlight w:val="none"/>
        </w:rPr>
        <w:instrText xml:space="preserve"> = 121800000 \* CHINESENUM4 \* MERGEFORMAT </w:instrText>
      </w:r>
      <w:r>
        <w:rPr>
          <w:rFonts w:hint="eastAsia" w:ascii="方正仿宋_GBK" w:hAnsi="方正仿宋_GBK" w:eastAsia="方正仿宋_GBK" w:cs="方正仿宋_GBK"/>
          <w:sz w:val="32"/>
          <w:szCs w:val="32"/>
          <w:highlight w:val="none"/>
        </w:rPr>
        <w:fldChar w:fldCharType="separate"/>
      </w:r>
      <w:r>
        <w:rPr>
          <w:rFonts w:hint="eastAsia" w:ascii="方正仿宋_GBK" w:hAnsi="方正仿宋_GBK" w:eastAsia="方正仿宋_GBK" w:cs="方正仿宋_GBK"/>
          <w:sz w:val="32"/>
          <w:szCs w:val="32"/>
          <w:highlight w:val="none"/>
          <w:lang w:eastAsia="zh-CN"/>
        </w:rPr>
        <w:t>伍仟玖佰陆拾万元整</w:t>
      </w:r>
      <w:r>
        <w:rPr>
          <w:rFonts w:hint="eastAsia" w:ascii="方正仿宋_GBK" w:hAnsi="方正仿宋_GBK" w:eastAsia="方正仿宋_GBK" w:cs="方正仿宋_GBK"/>
          <w:sz w:val="32"/>
          <w:szCs w:val="32"/>
          <w:highlight w:val="none"/>
        </w:rPr>
        <w:fldChar w:fldCharType="end"/>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若能竞得该地块，我方保证按照国有建设用地使用权拍卖出让文件的规定和要求履行全部义务。</w:t>
      </w:r>
    </w:p>
    <w:p>
      <w:pPr>
        <w:widowControl/>
        <w:autoSpaceDE w:val="0"/>
        <w:spacing w:line="460" w:lineRule="exact"/>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（备注：</w:t>
      </w:r>
      <w:r>
        <w:rPr>
          <w:rFonts w:hint="eastAsia" w:ascii="Times New Roman" w:hAnsi="Times New Roman" w:eastAsia="方正仿宋_GBK" w:cs="Times New Roman"/>
          <w:color w:val="FF0000"/>
          <w:kern w:val="0"/>
          <w:sz w:val="32"/>
          <w:szCs w:val="32"/>
          <w:highlight w:val="none"/>
          <w:u w:val="single"/>
        </w:rPr>
        <w:t>申请人竞得土地后，拟成立新公司进行开发建设的，应在申请书中明确新公司的</w:t>
      </w:r>
      <w:r>
        <w:rPr>
          <w:rFonts w:hint="eastAsia" w:ascii="Times New Roman" w:hAnsi="Times New Roman" w:eastAsia="方正仿宋_GBK" w:cs="Times New Roman"/>
          <w:color w:val="FF0000"/>
          <w:kern w:val="0"/>
          <w:sz w:val="32"/>
          <w:szCs w:val="32"/>
          <w:highlight w:val="none"/>
          <w:u w:val="single"/>
          <w:lang w:val="en-US" w:eastAsia="zh-CN"/>
        </w:rPr>
        <w:t>名称、</w:t>
      </w:r>
      <w:r>
        <w:rPr>
          <w:rFonts w:hint="eastAsia" w:ascii="Times New Roman" w:hAnsi="Times New Roman" w:eastAsia="方正仿宋_GBK" w:cs="Times New Roman"/>
          <w:color w:val="FF0000"/>
          <w:kern w:val="0"/>
          <w:sz w:val="32"/>
          <w:szCs w:val="32"/>
          <w:highlight w:val="none"/>
          <w:u w:val="single"/>
        </w:rPr>
        <w:t>出资构成、成立时间等内容</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若我方在国有建设用地使用权拍卖出让活动中出现违反相关法律、法规的行为，我方愿意承担全部法律责任，并赔偿由此产生的损失。</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特此申请和承诺。</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附件：</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申请人：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（加盖公章）</w:t>
      </w:r>
    </w:p>
    <w:p>
      <w:pPr>
        <w:widowControl/>
        <w:autoSpaceDE w:val="0"/>
        <w:spacing w:line="460" w:lineRule="exact"/>
        <w:ind w:firstLine="716" w:firstLineChars="224"/>
        <w:rPr>
          <w:rFonts w:ascii="Times New Roman" w:hAnsi="Times New Roman" w:eastAsia="方正仿宋_GBK" w:cs="Times New Roman"/>
          <w:sz w:val="32"/>
          <w:szCs w:val="32"/>
          <w:highlight w:val="none"/>
          <w:u w:val="single"/>
        </w:rPr>
      </w:pPr>
      <w:r>
        <w:rPr>
          <w:rFonts w:hint="eastAsia" w:ascii="方正仿宋_GBK" w:hAnsi="方正仿宋_GBK" w:eastAsia="方正仿宋_GBK" w:cs="方正仿宋_GBK"/>
          <w:sz w:val="32"/>
          <w:szCs w:val="32"/>
          <w:highlight w:val="none"/>
        </w:rPr>
        <w:t>法定代表人（或授权委托代理人）签名：</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r>
        <w:rPr>
          <w:rFonts w:ascii="Times New Roman" w:hAnsi="Times New Roman" w:eastAsia="方正仿宋_GBK" w:cs="Times New Roman"/>
          <w:sz w:val="32"/>
          <w:szCs w:val="32"/>
          <w:highlight w:val="none"/>
        </w:rPr>
        <w:t xml:space="preserve"> </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联系人：</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u w:val="single"/>
        </w:rPr>
        <w:t xml:space="preserve">   </w:t>
      </w:r>
      <w:r>
        <w:rPr>
          <w:rFonts w:hint="eastAsia" w:ascii="方正仿宋_GBK" w:hAnsi="方正仿宋_GBK" w:eastAsia="方正仿宋_GBK" w:cs="方正仿宋_GBK"/>
          <w:sz w:val="32"/>
          <w:szCs w:val="32"/>
          <w:highlight w:val="none"/>
          <w:u w:val="single"/>
          <w:lang w:val="en-US" w:eastAsia="zh-CN"/>
        </w:rPr>
        <w:t xml:space="preserve">    </w:t>
      </w:r>
      <w:r>
        <w:rPr>
          <w:rFonts w:hint="eastAsia" w:ascii="方正仿宋_GBK" w:hAnsi="方正仿宋_GBK" w:eastAsia="方正仿宋_GBK" w:cs="方正仿宋_GBK"/>
          <w:sz w:val="32"/>
          <w:szCs w:val="32"/>
          <w:highlight w:val="none"/>
          <w:u w:val="singl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；电</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话：</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Times New Roman" w:hAnsi="Times New Roman" w:eastAsia="方正仿宋_GBK" w:cs="Times New Roman"/>
          <w:sz w:val="32"/>
          <w:szCs w:val="32"/>
          <w:highlight w:val="none"/>
          <w:u w:val="single"/>
          <w:lang w:val="en-US" w:eastAsia="zh-CN"/>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716" w:firstLineChars="224"/>
        <w:rPr>
          <w:rFonts w:ascii="Times New Roman" w:hAnsi="Times New Roman" w:eastAsia="方正仿宋_GBK" w:cs="Times New Roman"/>
          <w:sz w:val="32"/>
          <w:szCs w:val="32"/>
          <w:highlight w:val="none"/>
        </w:rPr>
      </w:pPr>
      <w:r>
        <w:rPr>
          <w:rFonts w:hint="eastAsia" w:ascii="方正仿宋_GBK" w:hAnsi="方正仿宋_GBK" w:eastAsia="方正仿宋_GBK" w:cs="方正仿宋_GBK"/>
          <w:sz w:val="32"/>
          <w:szCs w:val="32"/>
          <w:highlight w:val="none"/>
        </w:rPr>
        <w:t>地</w:t>
      </w:r>
      <w:r>
        <w:rPr>
          <w:rFonts w:ascii="Times New Roman" w:hAnsi="Times New Roman" w:eastAsia="方正仿宋_GBK" w:cs="Times New Roman"/>
          <w:sz w:val="32"/>
          <w:szCs w:val="32"/>
          <w:highlight w:val="none"/>
        </w:rPr>
        <w:t xml:space="preserve">  </w:t>
      </w:r>
      <w:r>
        <w:rPr>
          <w:rFonts w:hint="eastAsia" w:ascii="方正仿宋_GBK" w:hAnsi="方正仿宋_GBK" w:eastAsia="方正仿宋_GBK" w:cs="方正仿宋_GBK"/>
          <w:sz w:val="32"/>
          <w:szCs w:val="32"/>
          <w:highlight w:val="none"/>
        </w:rPr>
        <w:t>址：</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w:t>
      </w:r>
    </w:p>
    <w:p>
      <w:pPr>
        <w:widowControl/>
        <w:autoSpaceDE w:val="0"/>
        <w:spacing w:line="460" w:lineRule="exact"/>
        <w:ind w:firstLine="2630" w:firstLineChars="822"/>
        <w:rPr>
          <w:rFonts w:hint="eastAsia" w:ascii="方正仿宋_GBK" w:hAnsi="方正仿宋_GBK" w:eastAsia="方正仿宋_GBK" w:cs="方正仿宋_GBK"/>
          <w:sz w:val="32"/>
          <w:szCs w:val="32"/>
          <w:highlight w:val="none"/>
        </w:rPr>
      </w:pPr>
    </w:p>
    <w:p>
      <w:pPr>
        <w:widowControl/>
        <w:autoSpaceDE w:val="0"/>
        <w:spacing w:line="460" w:lineRule="exact"/>
        <w:ind w:firstLine="2630" w:firstLineChars="822"/>
        <w:rPr>
          <w:rFonts w:ascii="方正仿宋_GBK" w:hAnsi="方正仿宋_GBK" w:eastAsia="方正仿宋_GBK" w:cs="方正仿宋_GBK"/>
          <w:sz w:val="32"/>
          <w:szCs w:val="32"/>
          <w:highlight w:val="none"/>
        </w:rPr>
      </w:pPr>
      <w:r>
        <w:rPr>
          <w:rFonts w:hint="eastAsia" w:ascii="方正仿宋_GBK" w:hAnsi="方正仿宋_GBK" w:eastAsia="方正仿宋_GBK" w:cs="方正仿宋_GBK"/>
          <w:sz w:val="32"/>
          <w:szCs w:val="32"/>
          <w:highlight w:val="none"/>
        </w:rPr>
        <w:t>申请日期：</w:t>
      </w:r>
      <w:r>
        <w:rPr>
          <w:rFonts w:ascii="Times New Roman" w:hAnsi="Times New Roman" w:eastAsia="方正仿宋_GBK" w:cs="Times New Roman"/>
          <w:sz w:val="32"/>
          <w:szCs w:val="32"/>
          <w:highlight w:val="none"/>
        </w:rPr>
        <w:t xml:space="preserve"> </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年</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月</w:t>
      </w:r>
      <w:r>
        <w:rPr>
          <w:rFonts w:ascii="Times New Roman" w:hAnsi="Times New Roman" w:eastAsia="方正仿宋_GBK" w:cs="Times New Roman"/>
          <w:sz w:val="32"/>
          <w:szCs w:val="32"/>
          <w:highlight w:val="none"/>
          <w:u w:val="single"/>
        </w:rPr>
        <w:t xml:space="preserve">      </w:t>
      </w:r>
      <w:r>
        <w:rPr>
          <w:rFonts w:hint="eastAsia" w:ascii="方正仿宋_GBK" w:hAnsi="方正仿宋_GBK" w:eastAsia="方正仿宋_GBK" w:cs="方正仿宋_GBK"/>
          <w:sz w:val="32"/>
          <w:szCs w:val="32"/>
          <w:highlight w:val="none"/>
        </w:rPr>
        <w:t>日</w:t>
      </w:r>
    </w:p>
    <w:p>
      <w:pPr>
        <w:jc w:val="center"/>
        <w:rPr>
          <w:rFonts w:hint="eastAsia" w:ascii="黑体" w:eastAsia="黑体"/>
          <w:b/>
          <w:color w:val="000000"/>
          <w:sz w:val="44"/>
          <w:szCs w:val="44"/>
          <w:highlight w:val="none"/>
          <w:lang w:eastAsia="zh-CN"/>
        </w:rPr>
      </w:pPr>
      <w:r>
        <w:rPr>
          <w:rFonts w:hint="eastAsia" w:ascii="方正仿宋_GBK" w:hAnsi="方正仿宋_GBK" w:eastAsia="方正仿宋_GBK" w:cs="方正仿宋_GBK"/>
          <w:sz w:val="30"/>
          <w:szCs w:val="30"/>
          <w:highlight w:val="none"/>
        </w:rPr>
        <w:br w:type="page"/>
      </w:r>
      <w:r>
        <w:rPr>
          <w:rFonts w:hint="eastAsia" w:ascii="黑体" w:eastAsia="黑体"/>
          <w:b/>
          <w:color w:val="000000"/>
          <w:sz w:val="44"/>
          <w:szCs w:val="44"/>
          <w:highlight w:val="none"/>
          <w:lang w:eastAsia="zh-CN"/>
        </w:rPr>
        <w:t>承</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诺</w:t>
      </w:r>
      <w:r>
        <w:rPr>
          <w:rFonts w:hint="eastAsia" w:ascii="黑体" w:eastAsia="黑体"/>
          <w:b/>
          <w:color w:val="000000"/>
          <w:sz w:val="44"/>
          <w:szCs w:val="44"/>
          <w:highlight w:val="none"/>
          <w:lang w:val="en-US" w:eastAsia="zh-CN"/>
        </w:rPr>
        <w:t xml:space="preserve"> </w:t>
      </w:r>
      <w:r>
        <w:rPr>
          <w:rFonts w:hint="eastAsia" w:ascii="黑体" w:eastAsia="黑体"/>
          <w:b/>
          <w:color w:val="000000"/>
          <w:sz w:val="44"/>
          <w:szCs w:val="44"/>
          <w:highlight w:val="none"/>
          <w:lang w:eastAsia="zh-CN"/>
        </w:rPr>
        <w:t>书</w:t>
      </w:r>
    </w:p>
    <w:p>
      <w:pPr>
        <w:pStyle w:val="2"/>
        <w:rPr>
          <w:rFonts w:hint="eastAsia"/>
          <w:highlight w:val="none"/>
          <w:lang w:eastAsia="zh-CN"/>
        </w:rPr>
      </w:pPr>
    </w:p>
    <w:p>
      <w:pPr>
        <w:numPr>
          <w:ilvl w:val="0"/>
          <w:numId w:val="2"/>
        </w:numPr>
        <w:spacing w:line="460" w:lineRule="exact"/>
        <w:ind w:firstLine="716" w:firstLineChars="224"/>
        <w:rPr>
          <w:rFonts w:hint="eastAsia" w:ascii="Times New Roman" w:hAnsi="Times New Roman" w:eastAsia="方正仿宋简体" w:cs="Times New Roman"/>
          <w:sz w:val="32"/>
          <w:szCs w:val="32"/>
          <w:highlight w:val="none"/>
        </w:rPr>
      </w:pPr>
      <w:r>
        <w:rPr>
          <w:rFonts w:hint="eastAsia" w:ascii="Times New Roman" w:hAnsi="Times New Roman" w:eastAsia="方正仿宋简体" w:cs="Times New Roman"/>
          <w:sz w:val="32"/>
          <w:szCs w:val="32"/>
          <w:highlight w:val="none"/>
        </w:rPr>
        <w:t>我方完全接受并愿意遵守此次国有建设用地使用权挂牌</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lang w:val="en-US" w:eastAsia="zh-CN"/>
        </w:rPr>
        <w:t>拍卖</w:t>
      </w:r>
      <w:r>
        <w:rPr>
          <w:rFonts w:hint="eastAsia" w:ascii="Times New Roman" w:hAnsi="Times New Roman" w:eastAsia="方正仿宋简体" w:cs="Times New Roman"/>
          <w:sz w:val="32"/>
          <w:szCs w:val="32"/>
          <w:highlight w:val="none"/>
          <w:lang w:eastAsia="zh-CN"/>
        </w:rPr>
        <w:t>）</w:t>
      </w:r>
      <w:r>
        <w:rPr>
          <w:rFonts w:hint="eastAsia" w:ascii="Times New Roman" w:hAnsi="Times New Roman" w:eastAsia="方正仿宋简体" w:cs="Times New Roman"/>
          <w:sz w:val="32"/>
          <w:szCs w:val="32"/>
          <w:highlight w:val="none"/>
        </w:rPr>
        <w:t>出让文件中的规定和要求。我方已到现场进行踏勘，接受出让地块现状条件，</w:t>
      </w:r>
      <w:r>
        <w:rPr>
          <w:rFonts w:ascii="Times New Roman" w:hAnsi="Times New Roman" w:eastAsia="方正仿宋简体" w:cs="Times New Roman"/>
          <w:sz w:val="32"/>
          <w:szCs w:val="32"/>
          <w:highlight w:val="none"/>
        </w:rPr>
        <w:t>对所有文件均无异议</w:t>
      </w:r>
      <w:r>
        <w:rPr>
          <w:rFonts w:hint="eastAsia" w:ascii="Times New Roman" w:hAnsi="Times New Roman" w:eastAsia="方正仿宋简体" w:cs="Times New Roman"/>
          <w:sz w:val="32"/>
          <w:szCs w:val="32"/>
          <w:highlight w:val="none"/>
        </w:rPr>
        <w:t>。</w:t>
      </w:r>
    </w:p>
    <w:p>
      <w:pPr>
        <w:pStyle w:val="2"/>
        <w:numPr>
          <w:ilvl w:val="0"/>
          <w:numId w:val="0"/>
        </w:numPr>
        <w:rPr>
          <w:highlight w:val="none"/>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二、我方报名所提供的营业执照复印件、身份证（法人、委托人）复印件仅用于</w:t>
      </w:r>
      <w:r>
        <w:rPr>
          <w:rFonts w:hint="eastAsia" w:ascii="Times New Roman" w:hAnsi="Times New Roman" w:eastAsia="方正仿宋简体" w:cs="Times New Roman"/>
          <w:sz w:val="32"/>
          <w:szCs w:val="32"/>
          <w:highlight w:val="none"/>
          <w:u w:val="single"/>
          <w:lang w:val="en-US" w:eastAsia="zh-CN"/>
        </w:rPr>
        <w:t xml:space="preserve">                     </w:t>
      </w:r>
      <w:r>
        <w:rPr>
          <w:rFonts w:hint="eastAsia" w:ascii="Times New Roman" w:hAnsi="Times New Roman" w:eastAsia="方正仿宋简体" w:cs="Times New Roman"/>
          <w:sz w:val="32"/>
          <w:szCs w:val="32"/>
          <w:highlight w:val="none"/>
          <w:lang w:val="en-US" w:eastAsia="zh-CN"/>
        </w:rPr>
        <w:t>号宗地的竞买。</w:t>
      </w: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p>
    <w:p>
      <w:pPr>
        <w:spacing w:line="460" w:lineRule="exact"/>
        <w:ind w:firstLine="716" w:firstLineChars="224"/>
        <w:rPr>
          <w:rFonts w:hint="default"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承诺人签字（法人）：               </w:t>
      </w: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r>
        <w:rPr>
          <w:rFonts w:hint="eastAsia" w:ascii="Times New Roman" w:hAnsi="Times New Roman" w:eastAsia="方正仿宋简体" w:cs="Times New Roman"/>
          <w:sz w:val="32"/>
          <w:szCs w:val="32"/>
          <w:highlight w:val="none"/>
          <w:lang w:val="en-US" w:eastAsia="zh-CN"/>
        </w:rPr>
        <w:t xml:space="preserve">                盖      章（公章）：</w:t>
      </w:r>
    </w:p>
    <w:p>
      <w:pPr>
        <w:pStyle w:val="2"/>
        <w:rPr>
          <w:rFonts w:hint="eastAsia"/>
          <w:highlight w:val="none"/>
          <w:lang w:val="en-US" w:eastAsia="zh-CN"/>
        </w:rPr>
      </w:pPr>
    </w:p>
    <w:p>
      <w:pPr>
        <w:spacing w:line="460" w:lineRule="exact"/>
        <w:ind w:firstLine="716" w:firstLineChars="224"/>
        <w:rPr>
          <w:rFonts w:hint="eastAsia" w:ascii="Times New Roman" w:hAnsi="Times New Roman" w:eastAsia="方正仿宋简体" w:cs="Times New Roman"/>
          <w:sz w:val="32"/>
          <w:szCs w:val="32"/>
          <w:highlight w:val="none"/>
          <w:lang w:val="en-US" w:eastAsia="zh-CN"/>
        </w:rPr>
      </w:pPr>
    </w:p>
    <w:p>
      <w:pPr>
        <w:pStyle w:val="2"/>
        <w:rPr>
          <w:rFonts w:hint="eastAsia"/>
          <w:highlight w:val="none"/>
        </w:rPr>
      </w:pPr>
      <w:r>
        <w:rPr>
          <w:rFonts w:hint="eastAsia" w:ascii="Times New Roman" w:hAnsi="Times New Roman" w:eastAsia="方正仿宋简体" w:cs="Times New Roman"/>
          <w:sz w:val="32"/>
          <w:szCs w:val="32"/>
          <w:highlight w:val="none"/>
          <w:lang w:val="en-US" w:eastAsia="zh-CN"/>
        </w:rPr>
        <w:t xml:space="preserve">                   日      期：     年    月    日</w:t>
      </w:r>
    </w:p>
    <w:p>
      <w:pPr>
        <w:widowControl/>
        <w:spacing w:line="520" w:lineRule="exact"/>
        <w:rPr>
          <w:rFonts w:ascii="Times New Roman" w:hAnsi="Times New Roman" w:eastAsia="方正仿宋_GBK" w:cs="Times New Roman"/>
          <w:sz w:val="32"/>
          <w:szCs w:val="20"/>
          <w:highlight w:val="none"/>
        </w:rPr>
      </w:pPr>
      <w:r>
        <w:rPr>
          <w:rFonts w:ascii="Times New Roman" w:hAnsi="Times New Roman" w:eastAsia="方正仿宋_GBK" w:cs="Times New Roman"/>
          <w:sz w:val="32"/>
          <w:szCs w:val="20"/>
          <w:highlight w:val="none"/>
        </w:rPr>
        <w:br w:type="page"/>
      </w:r>
    </w:p>
    <w:p>
      <w:pPr>
        <w:jc w:val="center"/>
        <w:rPr>
          <w:rFonts w:hint="eastAsia" w:ascii="方正仿宋_GBK" w:hAnsi="方正仿宋_GBK" w:eastAsia="方正仿宋_GBK" w:cs="方正仿宋_GBK"/>
          <w:sz w:val="30"/>
          <w:szCs w:val="30"/>
          <w:highlight w:val="none"/>
        </w:rPr>
      </w:pPr>
      <w:r>
        <w:rPr>
          <w:rFonts w:hint="eastAsia" w:ascii="黑体" w:eastAsia="黑体"/>
          <w:b/>
          <w:color w:val="000000"/>
          <w:sz w:val="44"/>
          <w:szCs w:val="44"/>
          <w:highlight w:val="none"/>
        </w:rPr>
        <w:t>授 权 委 托 书</w:t>
      </w:r>
    </w:p>
    <w:tbl>
      <w:tblPr>
        <w:tblStyle w:val="13"/>
        <w:tblW w:w="9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19"/>
        <w:gridCol w:w="328"/>
        <w:gridCol w:w="2639"/>
        <w:gridCol w:w="1521"/>
        <w:gridCol w:w="3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trPr>
        <w:tc>
          <w:tcPr>
            <w:tcW w:w="4586" w:type="dxa"/>
            <w:gridSpan w:val="3"/>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委  托  人</w:t>
            </w:r>
          </w:p>
        </w:tc>
        <w:tc>
          <w:tcPr>
            <w:tcW w:w="4814"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eastAsia="仿宋_GB2312"/>
                <w:color w:val="000000"/>
                <w:sz w:val="32"/>
                <w:szCs w:val="32"/>
                <w:highlight w:val="none"/>
              </w:rPr>
            </w:pPr>
            <w:r>
              <w:rPr>
                <w:rFonts w:hint="eastAsia" w:ascii="仿宋_GB2312" w:eastAsia="仿宋_GB2312"/>
                <w:color w:val="000000"/>
                <w:sz w:val="32"/>
                <w:szCs w:val="32"/>
                <w:highlight w:val="none"/>
              </w:rPr>
              <w:t>受  托  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姓 名</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1"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性 别</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出生日期</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trPr>
        <w:tc>
          <w:tcPr>
            <w:tcW w:w="1619"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2967" w:type="dxa"/>
            <w:gridSpan w:val="2"/>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c>
          <w:tcPr>
            <w:tcW w:w="1521"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证件号码</w:t>
            </w:r>
          </w:p>
        </w:tc>
        <w:tc>
          <w:tcPr>
            <w:tcW w:w="3293" w:type="dxa"/>
            <w:tcBorders>
              <w:top w:val="single" w:color="auto" w:sz="4" w:space="0"/>
              <w:left w:val="single" w:color="auto" w:sz="4" w:space="0"/>
              <w:bottom w:val="single" w:color="auto" w:sz="4" w:space="0"/>
              <w:right w:val="single" w:color="auto" w:sz="4" w:space="0"/>
            </w:tcBorders>
            <w:noWrap w:val="0"/>
            <w:vAlign w:val="center"/>
          </w:tcPr>
          <w:p>
            <w:pPr>
              <w:jc w:val="center"/>
              <w:rPr>
                <w:rFonts w:ascii="仿宋_GB2312" w:hAnsi="宋体" w:eastAsia="仿宋_GB2312"/>
                <w:color w:val="00000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00" w:type="dxa"/>
            <w:gridSpan w:val="5"/>
            <w:tcBorders>
              <w:top w:val="single" w:color="auto" w:sz="4" w:space="0"/>
              <w:left w:val="single" w:color="auto" w:sz="4" w:space="0"/>
              <w:bottom w:val="single" w:color="auto" w:sz="4" w:space="0"/>
              <w:right w:val="single" w:color="auto" w:sz="4" w:space="0"/>
            </w:tcBorders>
            <w:noWrap w:val="0"/>
            <w:vAlign w:val="top"/>
          </w:tcPr>
          <w:p>
            <w:pPr>
              <w:tabs>
                <w:tab w:val="left" w:pos="580"/>
              </w:tabs>
              <w:spacing w:line="640" w:lineRule="exact"/>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ab/>
            </w:r>
            <w:r>
              <w:rPr>
                <w:rFonts w:hint="eastAsia" w:ascii="仿宋_GB2312" w:hAnsi="宋体" w:eastAsia="仿宋_GB2312"/>
                <w:color w:val="000000"/>
                <w:sz w:val="32"/>
                <w:szCs w:val="32"/>
                <w:highlight w:val="none"/>
              </w:rPr>
              <w:t>本人授权</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（受托人）代表本人参加</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r>
              <w:rPr>
                <w:rFonts w:ascii="Times New Roman" w:hAnsi="Times New Roman" w:eastAsia="方正仿宋简体" w:cs="Times New Roman"/>
                <w:sz w:val="32"/>
                <w:szCs w:val="32"/>
                <w:highlight w:val="none"/>
              </w:rPr>
              <w:t>至</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年</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月</w:t>
            </w:r>
            <w:r>
              <w:rPr>
                <w:rFonts w:hint="eastAsia"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lang w:val="en-US" w:eastAsia="zh-CN"/>
              </w:rPr>
              <w:t xml:space="preserve">  </w:t>
            </w:r>
            <w:r>
              <w:rPr>
                <w:rFonts w:ascii="Times New Roman" w:hAnsi="Times New Roman" w:eastAsia="方正仿宋简体" w:cs="Times New Roman"/>
                <w:sz w:val="32"/>
                <w:szCs w:val="32"/>
                <w:highlight w:val="none"/>
              </w:rPr>
              <w:t>日</w:t>
            </w:r>
            <w:r>
              <w:rPr>
                <w:rFonts w:hint="eastAsia" w:ascii="Times New Roman" w:hAnsi="Times New Roman" w:eastAsia="方正仿宋简体" w:cs="Times New Roman"/>
                <w:sz w:val="32"/>
                <w:szCs w:val="32"/>
                <w:highlight w:val="none"/>
                <w:lang w:val="en-US" w:eastAsia="zh-CN"/>
              </w:rPr>
              <w:t>（含法定节假日）</w:t>
            </w:r>
            <w:r>
              <w:rPr>
                <w:rFonts w:hint="eastAsia" w:ascii="仿宋_GB2312" w:hAnsi="宋体" w:eastAsia="仿宋_GB2312"/>
                <w:color w:val="000000"/>
                <w:sz w:val="32"/>
                <w:szCs w:val="32"/>
                <w:highlight w:val="none"/>
              </w:rPr>
              <w:t>在成都市公共资源交易服务中心举行的</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u w:val="single"/>
                <w:lang w:val="en-US" w:eastAsia="zh-CN"/>
              </w:rPr>
              <w:t>LKYD-2022-031</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号地块国有建设用地使用权</w:t>
            </w:r>
            <w:r>
              <w:rPr>
                <w:rFonts w:hint="eastAsia" w:ascii="仿宋_GB2312" w:hAnsi="宋体" w:eastAsia="仿宋_GB2312"/>
                <w:color w:val="000000"/>
                <w:sz w:val="32"/>
                <w:szCs w:val="32"/>
                <w:highlight w:val="none"/>
                <w:lang w:eastAsia="zh-CN"/>
              </w:rPr>
              <w:t>招拍挂</w:t>
            </w:r>
            <w:r>
              <w:rPr>
                <w:rFonts w:hint="eastAsia" w:ascii="仿宋_GB2312" w:hAnsi="宋体" w:eastAsia="仿宋_GB2312"/>
                <w:color w:val="000000"/>
                <w:sz w:val="32"/>
                <w:szCs w:val="32"/>
                <w:highlight w:val="none"/>
              </w:rPr>
              <w:t>出让活动的报名、报价、签订成交确认书等相关事宜。</w:t>
            </w:r>
          </w:p>
          <w:p>
            <w:pPr>
              <w:tabs>
                <w:tab w:val="left" w:pos="580"/>
              </w:tabs>
              <w:spacing w:line="640" w:lineRule="exact"/>
              <w:ind w:firstLine="660"/>
              <w:rPr>
                <w:rFonts w:hint="eastAsia"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受托人在该地块出让活动中所做出的承诺、签署的文件，本人均予以认可，并承担由此产生的法律后果。 </w:t>
            </w:r>
          </w:p>
          <w:p>
            <w:pPr>
              <w:tabs>
                <w:tab w:val="left" w:pos="580"/>
              </w:tabs>
              <w:ind w:firstLine="660"/>
              <w:rPr>
                <w:rFonts w:hint="eastAsia" w:ascii="仿宋_GB2312" w:hAnsi="宋体" w:eastAsia="仿宋_GB2312"/>
                <w:color w:val="000000"/>
                <w:sz w:val="32"/>
                <w:szCs w:val="32"/>
                <w:highlight w:val="none"/>
              </w:rPr>
            </w:pPr>
          </w:p>
          <w:p>
            <w:pPr>
              <w:pStyle w:val="2"/>
              <w:pBdr>
                <w:top w:val="none" w:color="auto" w:sz="0" w:space="0"/>
                <w:left w:val="none" w:color="auto" w:sz="0" w:space="0"/>
                <w:bottom w:val="none" w:color="auto" w:sz="0" w:space="0"/>
                <w:right w:val="none" w:color="auto" w:sz="0" w:space="0"/>
              </w:pBdr>
              <w:rPr>
                <w:rFonts w:hint="eastAsia" w:ascii="仿宋_GB2312" w:hAnsi="宋体" w:eastAsia="仿宋_GB2312" w:cs="Times New Roman"/>
                <w:color w:val="000000"/>
                <w:kern w:val="2"/>
                <w:sz w:val="32"/>
                <w:szCs w:val="32"/>
                <w:highlight w:val="none"/>
                <w:lang w:val="en-US" w:eastAsia="zh-CN" w:bidi="ar-SA"/>
              </w:rPr>
            </w:pPr>
            <w:r>
              <w:rPr>
                <w:rFonts w:hint="eastAsia" w:ascii="仿宋_GB2312" w:hAnsi="宋体" w:eastAsia="仿宋_GB2312" w:cs="Times New Roman"/>
                <w:color w:val="000000"/>
                <w:kern w:val="2"/>
                <w:sz w:val="32"/>
                <w:szCs w:val="32"/>
                <w:highlight w:val="none"/>
                <w:lang w:val="en-US" w:eastAsia="zh-CN" w:bidi="ar-SA"/>
              </w:rPr>
              <w:t>委托人：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受托人：</w:t>
            </w:r>
            <w:r>
              <w:rPr>
                <w:rFonts w:hint="eastAsia" w:ascii="仿宋_GB2312" w:hAnsi="宋体" w:eastAsia="仿宋_GB2312" w:cs="Times New Roman"/>
                <w:color w:val="000000"/>
                <w:kern w:val="2"/>
                <w:sz w:val="32"/>
                <w:szCs w:val="32"/>
                <w:highlight w:val="none"/>
                <w:u w:val="single"/>
                <w:lang w:val="en-US" w:eastAsia="zh-CN" w:bidi="ar-SA"/>
              </w:rPr>
              <w:t xml:space="preserve">             </w:t>
            </w:r>
            <w:r>
              <w:rPr>
                <w:rFonts w:hint="eastAsia" w:ascii="仿宋_GB2312" w:hAnsi="宋体" w:eastAsia="仿宋_GB2312" w:cs="Times New Roman"/>
                <w:color w:val="000000"/>
                <w:kern w:val="2"/>
                <w:sz w:val="32"/>
                <w:szCs w:val="32"/>
                <w:highlight w:val="none"/>
                <w:lang w:val="en-US" w:eastAsia="zh-CN" w:bidi="ar-SA"/>
              </w:rPr>
              <w:t xml:space="preserve">  </w:t>
            </w: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 xml:space="preserve">日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7" w:hRule="atLeast"/>
        </w:trPr>
        <w:tc>
          <w:tcPr>
            <w:tcW w:w="1947" w:type="dxa"/>
            <w:gridSpan w:val="2"/>
            <w:tcBorders>
              <w:top w:val="single" w:color="auto" w:sz="4" w:space="0"/>
              <w:left w:val="single" w:color="auto" w:sz="4" w:space="0"/>
              <w:bottom w:val="single" w:color="auto" w:sz="4" w:space="0"/>
              <w:right w:val="single" w:color="auto" w:sz="4" w:space="0"/>
            </w:tcBorders>
            <w:noWrap w:val="0"/>
            <w:vAlign w:val="center"/>
          </w:tcPr>
          <w:p>
            <w:pPr>
              <w:tabs>
                <w:tab w:val="left" w:pos="580"/>
              </w:tabs>
              <w:jc w:val="center"/>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lang w:eastAsia="zh-CN"/>
              </w:rPr>
              <w:t>备</w:t>
            </w:r>
            <w:r>
              <w:rPr>
                <w:rFonts w:hint="eastAsia" w:ascii="仿宋_GB2312" w:hAnsi="宋体" w:eastAsia="仿宋_GB2312"/>
                <w:color w:val="000000"/>
                <w:sz w:val="32"/>
                <w:szCs w:val="32"/>
                <w:highlight w:val="none"/>
              </w:rPr>
              <w:t xml:space="preserve">   注</w:t>
            </w:r>
          </w:p>
        </w:tc>
        <w:tc>
          <w:tcPr>
            <w:tcW w:w="7453" w:type="dxa"/>
            <w:gridSpan w:val="3"/>
            <w:tcBorders>
              <w:top w:val="single" w:color="auto" w:sz="4" w:space="0"/>
              <w:left w:val="single" w:color="auto" w:sz="4" w:space="0"/>
              <w:bottom w:val="single" w:color="auto" w:sz="4" w:space="0"/>
              <w:right w:val="single" w:color="auto" w:sz="4" w:space="0"/>
            </w:tcBorders>
            <w:noWrap w:val="0"/>
            <w:vAlign w:val="top"/>
          </w:tcPr>
          <w:p>
            <w:pPr>
              <w:tabs>
                <w:tab w:val="left" w:pos="580"/>
              </w:tabs>
              <w:ind w:firstLine="600" w:firstLineChars="2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兹证明本委托书确系本单位法定代表人</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u w:val="single"/>
                <w:lang w:val="en-US" w:eastAsia="zh-CN"/>
              </w:rPr>
              <w:t xml:space="preserve">    </w:t>
            </w:r>
            <w:r>
              <w:rPr>
                <w:rFonts w:hint="eastAsia" w:ascii="仿宋_GB2312" w:hAnsi="宋体" w:eastAsia="仿宋_GB2312"/>
                <w:color w:val="000000"/>
                <w:sz w:val="30"/>
                <w:szCs w:val="30"/>
                <w:highlight w:val="none"/>
                <w:u w:val="single"/>
              </w:rPr>
              <w:t xml:space="preserve"> </w:t>
            </w:r>
            <w:r>
              <w:rPr>
                <w:rFonts w:hint="eastAsia" w:ascii="仿宋_GB2312" w:hAnsi="宋体" w:eastAsia="仿宋_GB2312"/>
                <w:color w:val="000000"/>
                <w:sz w:val="30"/>
                <w:szCs w:val="30"/>
                <w:highlight w:val="none"/>
              </w:rPr>
              <w:t>亲自签署。</w:t>
            </w:r>
          </w:p>
          <w:p>
            <w:pPr>
              <w:tabs>
                <w:tab w:val="left" w:pos="580"/>
              </w:tabs>
              <w:ind w:firstLine="4500" w:firstLineChars="1500"/>
              <w:rPr>
                <w:rFonts w:hint="eastAsia" w:ascii="仿宋_GB2312" w:hAnsi="宋体" w:eastAsia="仿宋_GB2312"/>
                <w:color w:val="000000"/>
                <w:sz w:val="30"/>
                <w:szCs w:val="30"/>
                <w:highlight w:val="none"/>
              </w:rPr>
            </w:pPr>
            <w:r>
              <w:rPr>
                <w:rFonts w:hint="eastAsia" w:ascii="仿宋_GB2312" w:hAnsi="宋体" w:eastAsia="仿宋_GB2312"/>
                <w:color w:val="000000"/>
                <w:sz w:val="30"/>
                <w:szCs w:val="30"/>
                <w:highlight w:val="none"/>
              </w:rPr>
              <w:t xml:space="preserve"> (单位公章)</w:t>
            </w:r>
          </w:p>
          <w:p>
            <w:pPr>
              <w:tabs>
                <w:tab w:val="left" w:pos="580"/>
              </w:tabs>
              <w:ind w:firstLine="5250" w:firstLineChars="1750"/>
              <w:rPr>
                <w:rFonts w:hint="eastAsia" w:ascii="仿宋_GB2312" w:hAnsi="宋体" w:eastAsia="仿宋_GB2312"/>
                <w:color w:val="000000"/>
                <w:sz w:val="30"/>
                <w:szCs w:val="30"/>
                <w:highlight w:val="none"/>
              </w:rPr>
            </w:pPr>
          </w:p>
          <w:p>
            <w:pPr>
              <w:tabs>
                <w:tab w:val="left" w:pos="580"/>
              </w:tabs>
              <w:rPr>
                <w:rFonts w:ascii="仿宋_GB2312" w:hAnsi="宋体" w:eastAsia="仿宋_GB2312"/>
                <w:color w:val="000000"/>
                <w:sz w:val="32"/>
                <w:szCs w:val="32"/>
                <w:highlight w:val="none"/>
              </w:rPr>
            </w:pPr>
            <w:r>
              <w:rPr>
                <w:rFonts w:hint="eastAsia" w:ascii="仿宋_GB2312" w:hAnsi="宋体" w:eastAsia="仿宋_GB2312"/>
                <w:color w:val="000000"/>
                <w:sz w:val="32"/>
                <w:szCs w:val="32"/>
                <w:highlight w:val="none"/>
              </w:rPr>
              <w:t xml:space="preserve">                      </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年</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月</w:t>
            </w:r>
            <w:r>
              <w:rPr>
                <w:rFonts w:hint="eastAsia" w:ascii="仿宋_GB2312" w:hAnsi="宋体" w:eastAsia="仿宋_GB2312"/>
                <w:color w:val="000000"/>
                <w:sz w:val="32"/>
                <w:szCs w:val="32"/>
                <w:highlight w:val="none"/>
                <w:u w:val="single"/>
              </w:rPr>
              <w:t xml:space="preserve">     </w:t>
            </w:r>
            <w:r>
              <w:rPr>
                <w:rFonts w:hint="eastAsia" w:ascii="仿宋_GB2312" w:hAnsi="宋体" w:eastAsia="仿宋_GB2312"/>
                <w:color w:val="000000"/>
                <w:sz w:val="32"/>
                <w:szCs w:val="32"/>
                <w:highlight w:val="none"/>
              </w:rPr>
              <w:t>日</w:t>
            </w:r>
          </w:p>
        </w:tc>
      </w:tr>
    </w:tbl>
    <w:p>
      <w:pPr>
        <w:pStyle w:val="2"/>
        <w:ind w:left="0" w:leftChars="0" w:firstLine="0" w:firstLineChars="0"/>
        <w:rPr>
          <w:rFonts w:ascii="Times New Roman" w:hAnsi="Times New Roman" w:eastAsia="方正仿宋_GBK" w:cs="Times New Roman"/>
          <w:sz w:val="32"/>
          <w:szCs w:val="20"/>
          <w:highlight w:val="none"/>
        </w:rPr>
      </w:pPr>
    </w:p>
    <w:tbl>
      <w:tblPr>
        <w:tblStyle w:val="13"/>
        <w:tblW w:w="8668"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876"/>
        <w:gridCol w:w="2640"/>
        <w:gridCol w:w="1308"/>
        <w:gridCol w:w="2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0" w:hRule="atLeast"/>
        </w:trPr>
        <w:tc>
          <w:tcPr>
            <w:tcW w:w="8668" w:type="dxa"/>
            <w:gridSpan w:val="4"/>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b/>
                <w:bCs/>
                <w:i w:val="0"/>
                <w:iCs w:val="0"/>
                <w:color w:val="000000"/>
                <w:sz w:val="28"/>
                <w:szCs w:val="28"/>
                <w:highlight w:val="none"/>
                <w:u w:val="none"/>
              </w:rPr>
            </w:pPr>
            <w:r>
              <w:rPr>
                <w:rStyle w:val="25"/>
                <w:highlight w:val="none"/>
                <w:lang w:val="en-US" w:eastAsia="zh-CN" w:bidi="ar"/>
              </w:rPr>
              <w:t>资阳市出让国有建设用地使用权</w:t>
            </w:r>
            <w:r>
              <w:rPr>
                <w:rStyle w:val="26"/>
                <w:highlight w:val="none"/>
                <w:lang w:val="en-US" w:eastAsia="zh-CN" w:bidi="ar"/>
              </w:rPr>
              <w:br w:type="textWrapping"/>
            </w:r>
            <w:r>
              <w:rPr>
                <w:rStyle w:val="25"/>
                <w:highlight w:val="none"/>
                <w:lang w:val="en-US" w:eastAsia="zh-CN" w:bidi="ar"/>
              </w:rPr>
              <w:t>成交确认书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5"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出让人</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成交及签订时间</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成交地点</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lang w:val="en-US" w:eastAsia="zh-CN"/>
              </w:rPr>
            </w:pPr>
            <w:r>
              <w:rPr>
                <w:rFonts w:hint="eastAsia" w:ascii="宋体" w:hAnsi="宋体" w:eastAsia="宋体" w:cs="宋体"/>
                <w:i w:val="0"/>
                <w:iCs w:val="0"/>
                <w:color w:val="000000"/>
                <w:sz w:val="22"/>
                <w:szCs w:val="22"/>
                <w:highlight w:val="none"/>
                <w:u w:val="none"/>
                <w:lang w:val="en-US" w:eastAsia="zh-CN"/>
              </w:rPr>
              <w:t>成都市公共资源交易服务中心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5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地块编号</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地块位置</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出让面积（平方米）</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出让年限</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土地用途</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容积率</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出让方式</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lang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竞买保证金（万元）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宋体" w:hAnsi="宋体" w:eastAsia="宋体" w:cs="宋体"/>
                <w:i w:val="0"/>
                <w:iCs w:val="0"/>
                <w:color w:val="000000"/>
                <w:sz w:val="22"/>
                <w:szCs w:val="22"/>
                <w:highlight w:val="none"/>
                <w:u w:val="none"/>
                <w:lang w:val="en-US"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起叫（始）价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6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default" w:ascii="宋体" w:hAnsi="宋体" w:eastAsia="宋体" w:cs="宋体"/>
                <w:i w:val="0"/>
                <w:iCs w:val="0"/>
                <w:color w:val="000000"/>
                <w:sz w:val="22"/>
                <w:szCs w:val="22"/>
                <w:highlight w:val="none"/>
                <w:u w:val="none"/>
                <w:lang w:val="en-US" w:eastAsia="zh-CN"/>
              </w:rPr>
            </w:pPr>
          </w:p>
        </w:tc>
        <w:tc>
          <w:tcPr>
            <w:tcW w:w="130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成交价</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2844"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4"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成交总额</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人民币大写：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187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2"/>
                <w:szCs w:val="22"/>
                <w:highlight w:val="none"/>
                <w:u w:val="none"/>
                <w:lang w:val="en-US" w:eastAsia="zh-CN" w:bidi="ar"/>
              </w:rPr>
            </w:pPr>
            <w:r>
              <w:rPr>
                <w:rFonts w:hint="eastAsia" w:ascii="宋体" w:hAnsi="宋体" w:eastAsia="宋体" w:cs="宋体"/>
                <w:i w:val="0"/>
                <w:iCs w:val="0"/>
                <w:color w:val="000000"/>
                <w:kern w:val="0"/>
                <w:sz w:val="22"/>
                <w:szCs w:val="22"/>
                <w:highlight w:val="none"/>
                <w:u w:val="none"/>
                <w:lang w:val="en-US" w:eastAsia="zh-CN" w:bidi="ar"/>
              </w:rPr>
              <w:t>交易手续费</w:t>
            </w:r>
          </w:p>
          <w:p>
            <w:pPr>
              <w:keepNext w:val="0"/>
              <w:keepLines w:val="0"/>
              <w:widowControl/>
              <w:suppressLineNumbers w:val="0"/>
              <w:jc w:val="center"/>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（万元）</w:t>
            </w:r>
          </w:p>
        </w:tc>
        <w:tc>
          <w:tcPr>
            <w:tcW w:w="6792"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sz w:val="22"/>
                <w:szCs w:val="22"/>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0" w:hRule="atLeast"/>
        </w:trPr>
        <w:tc>
          <w:tcPr>
            <w:tcW w:w="8668" w:type="dxa"/>
            <w:gridSpan w:val="4"/>
            <w:tcBorders>
              <w:top w:val="nil"/>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left"/>
              <w:textAlignment w:val="top"/>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备注：</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 xml:space="preserve">   1.竞得人应当于</w:t>
            </w:r>
            <w:r>
              <w:rPr>
                <w:rStyle w:val="27"/>
                <w:rFonts w:hint="eastAsia"/>
                <w:highlight w:val="none"/>
                <w:u w:val="single"/>
                <w:lang w:val="en-US" w:eastAsia="zh-CN" w:bidi="ar"/>
              </w:rPr>
              <w:t xml:space="preserve">    </w:t>
            </w:r>
            <w:r>
              <w:rPr>
                <w:rStyle w:val="27"/>
                <w:highlight w:val="none"/>
                <w:lang w:val="en-US" w:eastAsia="zh-CN" w:bidi="ar"/>
              </w:rPr>
              <w:t xml:space="preserve"> </w:t>
            </w:r>
            <w:r>
              <w:rPr>
                <w:rStyle w:val="28"/>
                <w:highlight w:val="none"/>
                <w:lang w:val="en-US" w:eastAsia="zh-CN" w:bidi="ar"/>
              </w:rPr>
              <w:t>年</w:t>
            </w:r>
            <w:r>
              <w:rPr>
                <w:rStyle w:val="27"/>
                <w:rFonts w:hint="eastAsia"/>
                <w:highlight w:val="none"/>
                <w:u w:val="single"/>
                <w:lang w:val="en-US" w:eastAsia="zh-CN" w:bidi="ar"/>
              </w:rPr>
              <w:t xml:space="preserve">   </w:t>
            </w:r>
            <w:r>
              <w:rPr>
                <w:rStyle w:val="27"/>
                <w:highlight w:val="none"/>
                <w:u w:val="single"/>
                <w:lang w:val="en-US" w:eastAsia="zh-CN" w:bidi="ar"/>
              </w:rPr>
              <w:t xml:space="preserve">  </w:t>
            </w:r>
            <w:r>
              <w:rPr>
                <w:rStyle w:val="28"/>
                <w:highlight w:val="none"/>
                <w:lang w:val="en-US" w:eastAsia="zh-CN" w:bidi="ar"/>
              </w:rPr>
              <w:t>月</w:t>
            </w:r>
            <w:r>
              <w:rPr>
                <w:rStyle w:val="27"/>
                <w:highlight w:val="none"/>
                <w:u w:val="single"/>
                <w:lang w:val="en-US" w:eastAsia="zh-CN" w:bidi="ar"/>
              </w:rPr>
              <w:t xml:space="preserve"> </w:t>
            </w:r>
            <w:r>
              <w:rPr>
                <w:rStyle w:val="27"/>
                <w:rFonts w:hint="eastAsia"/>
                <w:highlight w:val="none"/>
                <w:u w:val="single"/>
                <w:lang w:val="en-US" w:eastAsia="zh-CN" w:bidi="ar"/>
              </w:rPr>
              <w:t xml:space="preserve">    </w:t>
            </w:r>
            <w:r>
              <w:rPr>
                <w:rStyle w:val="28"/>
                <w:highlight w:val="none"/>
                <w:lang w:val="en-US" w:eastAsia="zh-CN" w:bidi="ar"/>
              </w:rPr>
              <w:t>日之前另行缴纳地产交易手续费;并于</w:t>
            </w:r>
            <w:r>
              <w:rPr>
                <w:rStyle w:val="28"/>
                <w:rFonts w:hint="eastAsia"/>
                <w:highlight w:val="none"/>
                <w:u w:val="single"/>
                <w:lang w:val="en-US" w:eastAsia="zh-CN" w:bidi="ar"/>
              </w:rPr>
              <w:t xml:space="preserve">      </w:t>
            </w:r>
            <w:r>
              <w:rPr>
                <w:rStyle w:val="27"/>
                <w:highlight w:val="none"/>
                <w:lang w:val="en-US" w:eastAsia="zh-CN" w:bidi="ar"/>
              </w:rPr>
              <w:t xml:space="preserve">     </w:t>
            </w:r>
            <w:r>
              <w:rPr>
                <w:rStyle w:val="28"/>
                <w:highlight w:val="none"/>
                <w:lang w:val="en-US" w:eastAsia="zh-CN" w:bidi="ar"/>
              </w:rPr>
              <w:t>年</w:t>
            </w:r>
            <w:r>
              <w:rPr>
                <w:rStyle w:val="27"/>
                <w:rFonts w:hint="eastAsia"/>
                <w:highlight w:val="none"/>
                <w:u w:val="single"/>
                <w:lang w:val="en-US" w:eastAsia="zh-CN" w:bidi="ar"/>
              </w:rPr>
              <w:t xml:space="preserve">    </w:t>
            </w:r>
            <w:r>
              <w:rPr>
                <w:rStyle w:val="28"/>
                <w:highlight w:val="none"/>
                <w:lang w:val="en-US" w:eastAsia="zh-CN" w:bidi="ar"/>
              </w:rPr>
              <w:t>月</w:t>
            </w:r>
            <w:r>
              <w:rPr>
                <w:rStyle w:val="27"/>
                <w:highlight w:val="none"/>
                <w:u w:val="single"/>
                <w:lang w:val="en-US" w:eastAsia="zh-CN" w:bidi="ar"/>
              </w:rPr>
              <w:t xml:space="preserve"> </w:t>
            </w:r>
            <w:r>
              <w:rPr>
                <w:rStyle w:val="27"/>
                <w:rFonts w:hint="eastAsia"/>
                <w:highlight w:val="none"/>
                <w:u w:val="single"/>
                <w:lang w:val="en-US" w:eastAsia="zh-CN" w:bidi="ar"/>
              </w:rPr>
              <w:t xml:space="preserve">   </w:t>
            </w:r>
            <w:r>
              <w:rPr>
                <w:rStyle w:val="27"/>
                <w:highlight w:val="none"/>
                <w:u w:val="single"/>
                <w:lang w:val="en-US" w:eastAsia="zh-CN" w:bidi="ar"/>
              </w:rPr>
              <w:t xml:space="preserve"> </w:t>
            </w:r>
            <w:r>
              <w:rPr>
                <w:rStyle w:val="28"/>
                <w:highlight w:val="none"/>
                <w:lang w:val="en-US" w:eastAsia="zh-CN" w:bidi="ar"/>
              </w:rPr>
              <w:t>日之前持本《成交确认书》与出让人签订《国有建设用地使用权出让合同》（以下合称《出让合同》）。</w:t>
            </w:r>
            <w:r>
              <w:rPr>
                <w:rStyle w:val="28"/>
                <w:highlight w:val="none"/>
                <w:lang w:val="en-US" w:eastAsia="zh-CN" w:bidi="ar"/>
              </w:rPr>
              <w:br w:type="textWrapping"/>
            </w:r>
            <w:r>
              <w:rPr>
                <w:rStyle w:val="28"/>
                <w:highlight w:val="none"/>
                <w:lang w:val="en-US" w:eastAsia="zh-CN" w:bidi="ar"/>
              </w:rPr>
              <w:t xml:space="preserve">   2.《出让合同》签订后，竞得人交纳的竞买保证金自动转作该地块的定金，该定金抵作首期土地出让价款。</w:t>
            </w:r>
            <w:r>
              <w:rPr>
                <w:rStyle w:val="28"/>
                <w:highlight w:val="none"/>
                <w:lang w:val="en-US" w:eastAsia="zh-CN" w:bidi="ar"/>
              </w:rPr>
              <w:br w:type="textWrapping"/>
            </w:r>
            <w:r>
              <w:rPr>
                <w:rStyle w:val="28"/>
                <w:highlight w:val="none"/>
                <w:lang w:val="en-US" w:eastAsia="zh-CN" w:bidi="ar"/>
              </w:rPr>
              <w:t xml:space="preserve">   3.不按期签订《国有建设用地使用权出让合同》的，视为竞得人放弃竞得资格，出让人有权取消其竞得人资格、终止供地、竞得人交纳的竞买保证金自动转作的定金及已缴纳的地产交易手续费均不予退还；造成损失的，竞得人还应依法承担相应的法律责任。</w:t>
            </w:r>
            <w:r>
              <w:rPr>
                <w:rStyle w:val="28"/>
                <w:highlight w:val="none"/>
                <w:lang w:val="en-US" w:eastAsia="zh-CN" w:bidi="ar"/>
              </w:rPr>
              <w:br w:type="textWrapping"/>
            </w:r>
            <w:r>
              <w:rPr>
                <w:rStyle w:val="28"/>
                <w:highlight w:val="none"/>
                <w:lang w:val="en-US" w:eastAsia="zh-CN" w:bidi="ar"/>
              </w:rPr>
              <w:t xml:space="preserve">   4.本成交确认书经竞得人、资阳市政府政务服务和公共资源交易服务中心双方确认盖章后生效。</w:t>
            </w:r>
            <w:r>
              <w:rPr>
                <w:rStyle w:val="28"/>
                <w:highlight w:val="none"/>
                <w:lang w:val="en-US" w:eastAsia="zh-CN" w:bidi="ar"/>
              </w:rPr>
              <w:br w:type="textWrapping"/>
            </w:r>
            <w:r>
              <w:rPr>
                <w:rStyle w:val="28"/>
                <w:highlight w:val="none"/>
                <w:lang w:val="en-US" w:eastAsia="zh-CN" w:bidi="ar"/>
              </w:rPr>
              <w:t xml:space="preserve">   5.本成交确认书一式五份，出让人执一份、竞得人执三份、资阳市政府政务服务和公共资源交易服务中心执一份，具有同等法律效力。</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8" w:hRule="atLeast"/>
        </w:trPr>
        <w:tc>
          <w:tcPr>
            <w:tcW w:w="1876"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资阳市政府政务服务和公共资源交易中心</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640" w:type="dxa"/>
            <w:tcBorders>
              <w:top w:val="nil"/>
              <w:left w:val="single" w:color="000000" w:sz="4" w:space="0"/>
              <w:bottom w:val="single" w:color="000000" w:sz="4" w:space="0"/>
              <w:right w:val="single" w:color="000000" w:sz="4" w:space="0"/>
            </w:tcBorders>
            <w:shd w:val="clear" w:color="auto" w:fill="auto"/>
            <w:noWrap/>
            <w:vAlign w:val="center"/>
          </w:tcPr>
          <w:p>
            <w:pPr>
              <w:rPr>
                <w:rFonts w:hint="eastAsia" w:ascii="宋体" w:hAnsi="宋体" w:eastAsia="宋体" w:cs="宋体"/>
                <w:i w:val="0"/>
                <w:iCs w:val="0"/>
                <w:color w:val="000000"/>
                <w:sz w:val="22"/>
                <w:szCs w:val="22"/>
                <w:highlight w:val="none"/>
                <w:u w:val="none"/>
              </w:rPr>
            </w:pPr>
          </w:p>
        </w:tc>
        <w:tc>
          <w:tcPr>
            <w:tcW w:w="1308" w:type="dxa"/>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highlight w:val="none"/>
                <w:u w:val="none"/>
              </w:rPr>
            </w:pPr>
            <w:r>
              <w:rPr>
                <w:rFonts w:hint="eastAsia" w:ascii="宋体" w:hAnsi="宋体" w:eastAsia="宋体" w:cs="宋体"/>
                <w:i w:val="0"/>
                <w:iCs w:val="0"/>
                <w:color w:val="000000"/>
                <w:kern w:val="0"/>
                <w:sz w:val="22"/>
                <w:szCs w:val="22"/>
                <w:highlight w:val="none"/>
                <w:u w:val="none"/>
                <w:lang w:val="en-US" w:eastAsia="zh-CN" w:bidi="ar"/>
              </w:rPr>
              <w:t>竞得人（授权委托代理人）签字：</w:t>
            </w:r>
            <w:r>
              <w:rPr>
                <w:rFonts w:hint="eastAsia" w:ascii="宋体" w:hAnsi="宋体" w:eastAsia="宋体" w:cs="宋体"/>
                <w:i w:val="0"/>
                <w:iCs w:val="0"/>
                <w:color w:val="000000"/>
                <w:kern w:val="0"/>
                <w:sz w:val="22"/>
                <w:szCs w:val="22"/>
                <w:highlight w:val="none"/>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（盖章）</w:t>
            </w:r>
          </w:p>
        </w:tc>
        <w:tc>
          <w:tcPr>
            <w:tcW w:w="2844" w:type="dxa"/>
            <w:tcBorders>
              <w:top w:val="nil"/>
              <w:left w:val="single" w:color="000000" w:sz="4" w:space="0"/>
              <w:bottom w:val="single" w:color="000000" w:sz="4" w:space="0"/>
              <w:right w:val="single" w:color="000000" w:sz="4" w:space="0"/>
            </w:tcBorders>
            <w:shd w:val="clear" w:color="auto" w:fill="auto"/>
            <w:vAlign w:val="center"/>
          </w:tcPr>
          <w:p>
            <w:pPr>
              <w:rPr>
                <w:rFonts w:hint="eastAsia"/>
                <w:highlight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rPr>
                <w:rFonts w:hint="eastAsia" w:ascii="宋体" w:hAnsi="宋体" w:eastAsia="宋体" w:cs="宋体"/>
                <w:i w:val="0"/>
                <w:iCs w:val="0"/>
                <w:color w:val="000000"/>
                <w:sz w:val="22"/>
                <w:szCs w:val="22"/>
                <w:highlight w:val="none"/>
                <w:u w:val="none"/>
              </w:rPr>
            </w:pPr>
          </w:p>
          <w:p>
            <w:pPr>
              <w:pStyle w:val="2"/>
              <w:ind w:left="0" w:leftChars="0" w:firstLine="0" w:firstLineChars="0"/>
              <w:rPr>
                <w:rFonts w:hint="eastAsia" w:ascii="宋体" w:hAnsi="宋体" w:eastAsia="宋体" w:cs="宋体"/>
                <w:i w:val="0"/>
                <w:iCs w:val="0"/>
                <w:color w:val="000000"/>
                <w:sz w:val="22"/>
                <w:szCs w:val="22"/>
                <w:highlight w:val="none"/>
                <w:u w:val="none"/>
              </w:rPr>
            </w:pPr>
          </w:p>
        </w:tc>
      </w:tr>
    </w:tbl>
    <w:p>
      <w:pPr>
        <w:spacing w:line="500" w:lineRule="exact"/>
        <w:jc w:val="center"/>
        <w:rPr>
          <w:rFonts w:hint="eastAsia" w:ascii="仿宋" w:hAnsi="仿宋" w:eastAsia="仿宋" w:cs="仿宋"/>
          <w:sz w:val="44"/>
          <w:szCs w:val="44"/>
          <w:highlight w:val="none"/>
        </w:rPr>
      </w:pPr>
      <w:r>
        <w:rPr>
          <w:rFonts w:hint="eastAsia" w:ascii="仿宋" w:hAnsi="仿宋" w:eastAsia="仿宋" w:cs="仿宋"/>
          <w:sz w:val="44"/>
          <w:szCs w:val="44"/>
          <w:highlight w:val="none"/>
        </w:rPr>
        <w:t>联合竞买土地协议</w:t>
      </w:r>
    </w:p>
    <w:p>
      <w:pPr>
        <w:spacing w:line="500" w:lineRule="exact"/>
        <w:jc w:val="center"/>
        <w:rPr>
          <w:rFonts w:hint="eastAsia" w:ascii="仿宋" w:hAnsi="仿宋" w:eastAsia="仿宋" w:cs="仿宋"/>
          <w:b/>
          <w:sz w:val="52"/>
          <w:szCs w:val="52"/>
          <w:highlight w:val="none"/>
        </w:rPr>
      </w:pPr>
    </w:p>
    <w:p>
      <w:pPr>
        <w:spacing w:line="50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 xml:space="preserve">甲方： </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乙方：</w:t>
      </w:r>
    </w:p>
    <w:p>
      <w:pPr>
        <w:spacing w:line="440" w:lineRule="exact"/>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就联合参加竞买编号为</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号的土地有关事宜，经各方充分协商一致，达成如下协议：</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一、</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自愿联合参加编号为</w:t>
      </w:r>
      <w:r>
        <w:rPr>
          <w:rFonts w:hint="eastAsia" w:ascii="仿宋" w:hAnsi="仿宋" w:eastAsia="仿宋" w:cs="仿宋"/>
          <w:sz w:val="32"/>
          <w:szCs w:val="32"/>
          <w:highlight w:val="none"/>
          <w:u w:val="single"/>
        </w:rPr>
        <w:t xml:space="preserve">              号</w:t>
      </w:r>
      <w:r>
        <w:rPr>
          <w:rFonts w:hint="eastAsia" w:ascii="仿宋" w:hAnsi="仿宋" w:eastAsia="仿宋" w:cs="仿宋"/>
          <w:sz w:val="32"/>
          <w:szCs w:val="32"/>
          <w:highlight w:val="none"/>
        </w:rPr>
        <w:t>的建设用地使用权拍卖（挂牌）之竞买活动，依据本协议约定享有权利，承担义务。</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二、</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联合竞得后，国有建设用地使用权的受让人名称为</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 xml:space="preserve">共有。共有份额按各方投入的土地出让竞买款资金比例确定,出资比例: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 xml:space="preserve">, 签订出让合同的受让人: </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三、竞买保证金人民币</w:t>
      </w:r>
      <w:r>
        <w:rPr>
          <w:rFonts w:hint="eastAsia" w:ascii="仿宋" w:hAnsi="仿宋" w:eastAsia="仿宋" w:cs="仿宋"/>
          <w:sz w:val="32"/>
          <w:szCs w:val="32"/>
          <w:highlight w:val="none"/>
          <w:u w:val="single"/>
        </w:rPr>
        <w:t xml:space="preserve">       整</w:t>
      </w:r>
      <w:r>
        <w:rPr>
          <w:rFonts w:hint="eastAsia" w:ascii="仿宋" w:hAnsi="仿宋" w:eastAsia="仿宋" w:cs="仿宋"/>
          <w:sz w:val="32"/>
          <w:szCs w:val="32"/>
          <w:highlight w:val="none"/>
        </w:rPr>
        <w:t>暂由</w:t>
      </w:r>
      <w:r>
        <w:rPr>
          <w:rFonts w:hint="eastAsia" w:ascii="仿宋" w:hAnsi="仿宋" w:eastAsia="仿宋" w:cs="仿宋"/>
          <w:sz w:val="32"/>
          <w:szCs w:val="32"/>
          <w:highlight w:val="none"/>
          <w:u w:val="single"/>
        </w:rPr>
        <w:t xml:space="preserve">          </w:t>
      </w:r>
      <w:r>
        <w:rPr>
          <w:rFonts w:hint="eastAsia" w:ascii="仿宋" w:hAnsi="仿宋" w:eastAsia="仿宋" w:cs="仿宋"/>
          <w:sz w:val="32"/>
          <w:szCs w:val="32"/>
          <w:highlight w:val="none"/>
        </w:rPr>
        <w:t>缴纳，若竞买成功自动计入其应当出资的所投金额。</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四、土地竞得后，在向自然资源局缴纳土地出让金时，由各方对土地出让金的缴纳承担连带付款责任。对签订成交确认书和国有建设用地使用权出让合同产生的法律责任，则甲乙丙三方连带承担。</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五、未竞得土地，本协议自动废止，因参加竞买活动所产生的费用由甲乙丙三方按约定的出资比例分摊。</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六、本协议经</w:t>
      </w:r>
      <w:r>
        <w:rPr>
          <w:rFonts w:hint="eastAsia" w:ascii="仿宋" w:hAnsi="仿宋" w:eastAsia="仿宋" w:cs="仿宋"/>
          <w:color w:val="FF0000"/>
          <w:sz w:val="32"/>
          <w:szCs w:val="32"/>
          <w:highlight w:val="none"/>
        </w:rPr>
        <w:t>甲、乙、丙三方</w:t>
      </w:r>
      <w:r>
        <w:rPr>
          <w:rFonts w:hint="eastAsia" w:ascii="仿宋" w:hAnsi="仿宋" w:eastAsia="仿宋" w:cs="仿宋"/>
          <w:sz w:val="32"/>
          <w:szCs w:val="32"/>
          <w:highlight w:val="none"/>
        </w:rPr>
        <w:t>签字盖章后生效。</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本协议</w:t>
      </w:r>
      <w:r>
        <w:rPr>
          <w:rFonts w:hint="eastAsia" w:ascii="仿宋" w:hAnsi="仿宋" w:eastAsia="仿宋" w:cs="仿宋"/>
          <w:sz w:val="32"/>
          <w:szCs w:val="32"/>
          <w:highlight w:val="none"/>
          <w:lang w:eastAsia="zh-CN"/>
        </w:rPr>
        <w:t>（原件）由</w:t>
      </w:r>
      <w:r>
        <w:rPr>
          <w:rFonts w:hint="eastAsia" w:ascii="仿宋" w:hAnsi="仿宋" w:eastAsia="仿宋" w:cs="仿宋"/>
          <w:sz w:val="32"/>
          <w:szCs w:val="32"/>
          <w:highlight w:val="none"/>
        </w:rPr>
        <w:t>联合竞买人、</w:t>
      </w:r>
      <w:r>
        <w:rPr>
          <w:rFonts w:hint="eastAsia" w:ascii="仿宋" w:hAnsi="仿宋" w:eastAsia="仿宋" w:cs="仿宋"/>
          <w:sz w:val="32"/>
          <w:szCs w:val="32"/>
          <w:highlight w:val="none"/>
          <w:lang w:eastAsia="zh-CN"/>
        </w:rPr>
        <w:t>资阳</w:t>
      </w:r>
      <w:r>
        <w:rPr>
          <w:rFonts w:hint="eastAsia" w:ascii="仿宋" w:hAnsi="仿宋" w:eastAsia="仿宋" w:cs="仿宋"/>
          <w:sz w:val="32"/>
          <w:szCs w:val="32"/>
          <w:highlight w:val="none"/>
        </w:rPr>
        <w:t>市政务服务和公共资源交易服务中心各执一份。</w:t>
      </w:r>
    </w:p>
    <w:p>
      <w:pPr>
        <w:spacing w:line="440" w:lineRule="exact"/>
        <w:ind w:firstLine="640" w:firstLineChars="200"/>
        <w:rPr>
          <w:rFonts w:hint="eastAsia" w:ascii="仿宋" w:hAnsi="仿宋" w:eastAsia="仿宋" w:cs="仿宋"/>
          <w:color w:val="FF0000"/>
          <w:sz w:val="32"/>
          <w:szCs w:val="32"/>
          <w:highlight w:val="none"/>
        </w:rPr>
      </w:pPr>
      <w:r>
        <w:rPr>
          <w:rFonts w:hint="eastAsia" w:ascii="仿宋" w:hAnsi="仿宋" w:eastAsia="仿宋" w:cs="仿宋"/>
          <w:color w:val="FF0000"/>
          <w:sz w:val="32"/>
          <w:szCs w:val="32"/>
          <w:highlight w:val="none"/>
        </w:rPr>
        <w:t>甲方：             乙方：             丙方：</w:t>
      </w:r>
    </w:p>
    <w:p>
      <w:pPr>
        <w:spacing w:line="440" w:lineRule="exact"/>
        <w:ind w:firstLine="640" w:firstLineChars="200"/>
        <w:rPr>
          <w:rFonts w:hint="eastAsia" w:ascii="仿宋" w:hAnsi="仿宋" w:eastAsia="仿宋" w:cs="仿宋"/>
          <w:sz w:val="32"/>
          <w:szCs w:val="32"/>
          <w:highlight w:val="none"/>
        </w:rPr>
      </w:pPr>
      <w:r>
        <w:rPr>
          <w:rFonts w:hint="eastAsia" w:ascii="仿宋" w:hAnsi="仿宋" w:eastAsia="仿宋" w:cs="仿宋"/>
          <w:sz w:val="32"/>
          <w:szCs w:val="32"/>
          <w:highlight w:val="none"/>
        </w:rPr>
        <w:t>法定代表人：      法定代表人：        法定代表人：</w:t>
      </w:r>
    </w:p>
    <w:p>
      <w:pPr>
        <w:spacing w:line="440" w:lineRule="exact"/>
        <w:ind w:firstLine="5072" w:firstLineChars="1585"/>
        <w:rPr>
          <w:rFonts w:eastAsia="方正小标宋简体"/>
          <w:sz w:val="44"/>
          <w:szCs w:val="44"/>
          <w:highlight w:val="none"/>
        </w:rPr>
      </w:pPr>
      <w:r>
        <w:rPr>
          <w:rFonts w:hint="eastAsia" w:ascii="仿宋" w:hAnsi="仿宋" w:eastAsia="仿宋" w:cs="仿宋"/>
          <w:sz w:val="32"/>
          <w:szCs w:val="32"/>
          <w:highlight w:val="none"/>
        </w:rPr>
        <w:t>年    月    日</w:t>
      </w:r>
      <w:r>
        <w:rPr>
          <w:rFonts w:eastAsia="方正黑体简体"/>
          <w:sz w:val="32"/>
          <w:szCs w:val="32"/>
          <w:highlight w:val="none"/>
        </w:rPr>
        <w:t xml:space="preserve">                                        </w:t>
      </w:r>
    </w:p>
    <w:p>
      <w:pPr>
        <w:rPr>
          <w:szCs w:val="21"/>
          <w:highlight w:val="none"/>
        </w:rPr>
      </w:pPr>
      <w:r>
        <w:rPr>
          <w:highlight w:val="none"/>
        </w:rPr>
        <w:t xml:space="preserve"> </w:t>
      </w:r>
      <w:r>
        <w:rPr>
          <w:highlight w:val="none"/>
        </w:rPr>
        <w:fldChar w:fldCharType="begin"/>
      </w:r>
      <w:r>
        <w:instrText xml:space="preserve"> INCLUDEPICTURE "../.deepinwine/Deepin-WeChat/dosdevices/c:/users/pc1/My Documents/WeChat Files/wxid_7t1ae2cmme6j22/FileStorage/File/2023-05/" \* MERGEFORMAT </w:instrText>
      </w:r>
      <w:r>
        <w:rPr>
          <w:highlight w:val="none"/>
        </w:rPr>
        <w:fldChar w:fldCharType="separate"/>
      </w:r>
      <w:r>
        <w:rPr>
          <w:highlight w:val="none"/>
        </w:rPr>
        <w:drawing>
          <wp:inline distT="0" distB="0" distL="114300" distR="114300">
            <wp:extent cx="1590675" cy="381000"/>
            <wp:effectExtent l="0" t="0" r="9525" b="0"/>
            <wp:docPr id="8" name="图片 1" descr="wps17"/>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1" descr="wps17"/>
                    <pic:cNvPicPr>
                      <a:picLocks noChangeAspect="true"/>
                    </pic:cNvPicPr>
                  </pic:nvPicPr>
                  <pic:blipFill>
                    <a:blip r:embed="rId19"/>
                    <a:stretch>
                      <a:fillRect/>
                    </a:stretch>
                  </pic:blipFill>
                  <pic:spPr>
                    <a:xfrm>
                      <a:off x="0" y="0"/>
                      <a:ext cx="1590675" cy="381000"/>
                    </a:xfrm>
                    <a:prstGeom prst="rect">
                      <a:avLst/>
                    </a:prstGeom>
                    <a:noFill/>
                    <a:ln>
                      <a:noFill/>
                    </a:ln>
                  </pic:spPr>
                </pic:pic>
              </a:graphicData>
            </a:graphic>
          </wp:inline>
        </w:drawing>
      </w:r>
      <w:r>
        <w:rPr>
          <w:highlight w:val="none"/>
        </w:rPr>
        <w:fldChar w:fldCharType="end"/>
      </w:r>
    </w:p>
    <w:p>
      <w:pPr>
        <w:pStyle w:val="2"/>
        <w:ind w:firstLine="210"/>
        <w:rPr>
          <w:highlight w:val="none"/>
        </w:rPr>
      </w:pPr>
      <w:r>
        <w:rPr>
          <w:highlight w:val="none"/>
        </w:rPr>
        <w:t xml:space="preserve"> </w:t>
      </w:r>
    </w:p>
    <w:p>
      <w:pPr>
        <w:pStyle w:val="3"/>
        <w:rPr>
          <w:highlight w:val="none"/>
        </w:rPr>
      </w:pPr>
      <w:r>
        <w:rPr>
          <w:highlight w:val="none"/>
        </w:rPr>
        <w:t xml:space="preserve"> </w:t>
      </w:r>
    </w:p>
    <w:p>
      <w:pPr>
        <w:rPr>
          <w:highlight w:val="none"/>
        </w:rPr>
      </w:pPr>
      <w:r>
        <w:rPr>
          <w:highlight w:val="none"/>
        </w:rPr>
        <w:t xml:space="preserve"> </w:t>
      </w:r>
    </w:p>
    <w:p>
      <w:pPr>
        <w:spacing w:line="460" w:lineRule="exact"/>
        <w:rPr>
          <w:rFonts w:eastAsia="方正仿宋简体"/>
          <w:sz w:val="32"/>
          <w:szCs w:val="32"/>
          <w:highlight w:val="none"/>
        </w:rPr>
      </w:pPr>
      <w:r>
        <w:rPr>
          <w:rFonts w:eastAsia="方正仿宋简体"/>
          <w:sz w:val="32"/>
          <w:szCs w:val="32"/>
          <w:highlight w:val="none"/>
        </w:rPr>
        <w:t xml:space="preserve"> </w:t>
      </w:r>
    </w:p>
    <w:p>
      <w:pPr>
        <w:pStyle w:val="6"/>
        <w:wordWrap w:val="0"/>
        <w:jc w:val="right"/>
        <w:rPr>
          <w:rFonts w:ascii="Times New Roman" w:hAnsi="Times New Roman" w:eastAsia="方正仿宋简体" w:cs="Times New Roman"/>
          <w:sz w:val="32"/>
          <w:szCs w:val="32"/>
          <w:highlight w:val="none"/>
        </w:rPr>
      </w:pPr>
      <w:r>
        <w:rPr>
          <w:rFonts w:ascii="方正仿宋_GBK" w:hAnsi="Times New Roman" w:eastAsia="方正仿宋简体" w:cs="Times New Roman"/>
          <w:sz w:val="32"/>
          <w:szCs w:val="32"/>
          <w:highlight w:val="none"/>
        </w:rPr>
        <w:t xml:space="preserve">电子监管号：         </w:t>
      </w:r>
    </w:p>
    <w:p>
      <w:pPr>
        <w:pStyle w:val="6"/>
        <w:outlineLvl w:val="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Style w:val="29"/>
          <w:rFonts w:hint="default" w:ascii="Times New Roman" w:hAnsi="Times New Roman" w:eastAsia="方正仿宋简体"/>
          <w:highlight w:val="none"/>
        </w:rPr>
      </w:pPr>
      <w:r>
        <w:rPr>
          <w:rStyle w:val="29"/>
          <w:rFonts w:hint="default" w:ascii="Times New Roman" w:hAnsi="Times New Roman" w:eastAsia="方正仿宋简体" w:cs="Times New Roman"/>
          <w:sz w:val="32"/>
          <w:szCs w:val="32"/>
          <w:highlight w:val="none"/>
        </w:rPr>
        <w:t xml:space="preserve"> </w:t>
      </w:r>
    </w:p>
    <w:p>
      <w:pPr>
        <w:pStyle w:val="6"/>
        <w:jc w:val="center"/>
        <w:rPr>
          <w:rFonts w:ascii="方正小标宋_GBK" w:eastAsia="方正小标宋_GBK"/>
          <w:highlight w:val="none"/>
        </w:rPr>
      </w:pPr>
      <w:r>
        <w:rPr>
          <w:rFonts w:hint="eastAsia" w:ascii="方正小标宋_GBK" w:hAnsi="Times New Roman" w:eastAsia="方正小标宋_GBK" w:cs="Times New Roman"/>
          <w:sz w:val="48"/>
          <w:szCs w:val="48"/>
          <w:highlight w:val="none"/>
        </w:rPr>
        <w:t>国有建设用地使用权出让合同</w:t>
      </w:r>
    </w:p>
    <w:p>
      <w:pPr>
        <w:pStyle w:val="6"/>
        <w:rPr>
          <w:rFonts w:hint="eastAsia"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500" w:lineRule="exact"/>
        <w:jc w:val="lef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500" w:lineRule="exact"/>
        <w:jc w:val="lef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500" w:lineRule="exact"/>
        <w:jc w:val="left"/>
        <w:rPr>
          <w:rFonts w:ascii="Times New Roman" w:hAnsi="Times New Roman" w:eastAsia="方正仿宋简体" w:cs="Times New Roman"/>
          <w:sz w:val="32"/>
          <w:szCs w:val="32"/>
          <w:highlight w:val="none"/>
        </w:rPr>
      </w:pPr>
    </w:p>
    <w:p>
      <w:pPr>
        <w:pStyle w:val="6"/>
        <w:ind w:right="224" w:firstLine="3465" w:firstLineChars="1650"/>
        <w:rPr>
          <w:rFonts w:ascii="Times New Roman" w:hAnsi="Times New Roman" w:eastAsia="方正仿宋简体" w:cs="Times New Roman"/>
          <w:sz w:val="32"/>
          <w:szCs w:val="32"/>
          <w:highlight w:val="none"/>
        </w:rPr>
      </w:pPr>
      <w:r>
        <w:rPr>
          <w:highlight w:val="none"/>
        </w:rPr>
        <w:drawing>
          <wp:anchor distT="0" distB="0" distL="114300" distR="114300" simplePos="0" relativeHeight="251675648" behindDoc="0" locked="0" layoutInCell="1" allowOverlap="1">
            <wp:simplePos x="0" y="0"/>
            <wp:positionH relativeFrom="page">
              <wp:posOffset>1513840</wp:posOffset>
            </wp:positionH>
            <wp:positionV relativeFrom="page">
              <wp:posOffset>7843520</wp:posOffset>
            </wp:positionV>
            <wp:extent cx="3876040" cy="809625"/>
            <wp:effectExtent l="0" t="0" r="10160" b="13335"/>
            <wp:wrapNone/>
            <wp:docPr id="24" name="图片 11" descr="wps18"/>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4" name="图片 11" descr="wps18"/>
                    <pic:cNvPicPr>
                      <a:picLocks noChangeAspect="true"/>
                    </pic:cNvPicPr>
                  </pic:nvPicPr>
                  <pic:blipFill>
                    <a:blip r:embed="rId20"/>
                    <a:stretch>
                      <a:fillRect/>
                    </a:stretch>
                  </pic:blipFill>
                  <pic:spPr>
                    <a:xfrm>
                      <a:off x="0" y="0"/>
                      <a:ext cx="3876040" cy="809625"/>
                    </a:xfrm>
                    <a:prstGeom prst="rect">
                      <a:avLst/>
                    </a:prstGeom>
                    <a:noFill/>
                    <a:ln>
                      <a:noFill/>
                    </a:ln>
                  </pic:spPr>
                </pic:pic>
              </a:graphicData>
            </a:graphic>
          </wp:anchor>
        </w:drawing>
      </w:r>
      <w:r>
        <w:rPr>
          <w:highlight w:val="none"/>
        </w:rPr>
        <w:drawing>
          <wp:anchor distT="0" distB="0" distL="114300" distR="114300" simplePos="0" relativeHeight="251676672" behindDoc="0" locked="0" layoutInCell="1" allowOverlap="1">
            <wp:simplePos x="0" y="0"/>
            <wp:positionH relativeFrom="page">
              <wp:posOffset>5008880</wp:posOffset>
            </wp:positionH>
            <wp:positionV relativeFrom="page">
              <wp:posOffset>7838440</wp:posOffset>
            </wp:positionV>
            <wp:extent cx="628650" cy="819150"/>
            <wp:effectExtent l="0" t="0" r="11430" b="3810"/>
            <wp:wrapNone/>
            <wp:docPr id="6" name="图片 3" descr="wps19"/>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3" descr="wps19"/>
                    <pic:cNvPicPr>
                      <a:picLocks noChangeAspect="true"/>
                    </pic:cNvPicPr>
                  </pic:nvPicPr>
                  <pic:blipFill>
                    <a:blip r:embed="rId21"/>
                    <a:stretch>
                      <a:fillRect/>
                    </a:stretch>
                  </pic:blipFill>
                  <pic:spPr>
                    <a:xfrm>
                      <a:off x="0" y="0"/>
                      <a:ext cx="628650" cy="819150"/>
                    </a:xfrm>
                    <a:prstGeom prst="rect">
                      <a:avLst/>
                    </a:prstGeom>
                    <a:noFill/>
                    <a:ln>
                      <a:noFill/>
                    </a:ln>
                  </pic:spPr>
                </pic:pic>
              </a:graphicData>
            </a:graphic>
          </wp:anchor>
        </w:drawing>
      </w:r>
      <w:r>
        <w:rPr>
          <w:rFonts w:ascii="Times New Roman" w:hAnsi="Times New Roman" w:eastAsia="方正仿宋简体" w:cs="Times New Roman"/>
          <w:sz w:val="32"/>
          <w:szCs w:val="32"/>
          <w:highlight w:val="none"/>
        </w:rPr>
        <w:t xml:space="preserve"> </w:t>
      </w:r>
    </w:p>
    <w:p>
      <w:pPr>
        <w:pStyle w:val="6"/>
        <w:ind w:right="224" w:firstLine="5280" w:firstLineChars="165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ind w:right="224" w:firstLine="5280" w:firstLineChars="165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ind w:right="224" w:firstLine="5280" w:firstLineChars="165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ind w:right="224" w:firstLine="5280" w:firstLineChars="165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ind w:right="224" w:firstLine="5280" w:firstLineChars="165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ind w:right="224" w:firstLine="5280" w:firstLineChars="165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ind w:right="224" w:firstLine="5280" w:firstLineChars="1650"/>
        <w:rPr>
          <w:rFonts w:ascii="Times New Roman" w:hAnsi="Times New Roman" w:eastAsia="方正仿宋简体" w:cs="Times New Roman"/>
          <w:sz w:val="32"/>
          <w:szCs w:val="32"/>
          <w:highlight w:val="none"/>
          <w:u w:val="single"/>
        </w:rPr>
      </w:pPr>
      <w:r>
        <w:rPr>
          <w:rFonts w:ascii="方正仿宋_GBK" w:hAnsi="Times New Roman" w:eastAsia="方正仿宋简体" w:cs="Times New Roman"/>
          <w:sz w:val="32"/>
          <w:szCs w:val="32"/>
          <w:highlight w:val="none"/>
        </w:rPr>
        <w:t>合同编号：</w:t>
      </w:r>
      <w:r>
        <w:rPr>
          <w:rFonts w:ascii="Times New Roman" w:hAnsi="Times New Roman" w:eastAsia="方正仿宋简体" w:cs="Times New Roman"/>
          <w:sz w:val="32"/>
          <w:szCs w:val="32"/>
          <w:highlight w:val="none"/>
          <w:u w:val="single"/>
        </w:rPr>
        <w:t xml:space="preserve"> </w:t>
      </w:r>
      <w:r>
        <w:rPr>
          <w:rFonts w:ascii="方正仿宋_GBK" w:hAnsi="Times New Roman" w:eastAsia="方正仿宋简体" w:cs="Times New Roman"/>
          <w:sz w:val="32"/>
          <w:szCs w:val="32"/>
          <w:highlight w:val="none"/>
          <w:u w:val="single"/>
        </w:rPr>
        <w:t xml:space="preserve">    </w:t>
      </w:r>
    </w:p>
    <w:p>
      <w:pPr>
        <w:pStyle w:val="12"/>
        <w:spacing w:before="0" w:beforeAutospacing="0" w:after="0" w:afterAutospacing="0" w:line="600" w:lineRule="exact"/>
        <w:jc w:val="center"/>
        <w:rPr>
          <w:rFonts w:ascii="方正仿宋_GBK" w:hAnsi="Times New Roman" w:eastAsia="方正仿宋简体"/>
          <w:sz w:val="32"/>
          <w:szCs w:val="32"/>
          <w:highlight w:val="none"/>
        </w:rPr>
      </w:pPr>
      <w:r>
        <w:rPr>
          <w:rFonts w:hint="eastAsia" w:ascii="方正仿宋_GBK" w:eastAsia="方正仿宋简体"/>
          <w:sz w:val="32"/>
          <w:szCs w:val="32"/>
          <w:highlight w:val="none"/>
        </w:rPr>
        <w:t xml:space="preserve"> </w:t>
      </w:r>
    </w:p>
    <w:p>
      <w:pPr>
        <w:pStyle w:val="12"/>
        <w:spacing w:before="0" w:beforeAutospacing="0" w:after="0" w:afterAutospacing="0" w:line="600" w:lineRule="exact"/>
        <w:jc w:val="center"/>
        <w:rPr>
          <w:rFonts w:hint="eastAsia" w:ascii="方正仿宋_GBK" w:eastAsia="方正仿宋简体"/>
          <w:sz w:val="32"/>
          <w:szCs w:val="32"/>
          <w:highlight w:val="none"/>
        </w:rPr>
      </w:pPr>
      <w:r>
        <w:rPr>
          <w:rFonts w:hint="eastAsia" w:ascii="方正仿宋_GBK" w:eastAsia="方正仿宋简体"/>
          <w:sz w:val="32"/>
          <w:szCs w:val="32"/>
          <w:highlight w:val="none"/>
        </w:rPr>
        <w:t xml:space="preserve"> </w:t>
      </w:r>
    </w:p>
    <w:p>
      <w:pPr>
        <w:pStyle w:val="12"/>
        <w:spacing w:before="0" w:beforeAutospacing="0" w:after="0" w:afterAutospacing="0" w:line="600" w:lineRule="exact"/>
        <w:jc w:val="center"/>
        <w:rPr>
          <w:rFonts w:hint="eastAsia" w:ascii="方正黑体_GBK" w:eastAsia="方正黑体_GBK"/>
          <w:sz w:val="32"/>
          <w:szCs w:val="32"/>
          <w:highlight w:val="none"/>
        </w:rPr>
      </w:pPr>
      <w:r>
        <w:rPr>
          <w:rFonts w:hint="eastAsia" w:ascii="方正黑体_GBK" w:hAnsi="方正仿宋_GBK" w:eastAsia="方正黑体_GBK" w:cs="方正仿宋_GBK"/>
          <w:sz w:val="32"/>
          <w:szCs w:val="32"/>
          <w:highlight w:val="none"/>
        </w:rPr>
        <w:t>国有建设用地使用权出让合同</w:t>
      </w:r>
    </w:p>
    <w:p>
      <w:pPr>
        <w:pStyle w:val="6"/>
        <w:spacing w:line="240" w:lineRule="exact"/>
        <w:jc w:val="center"/>
        <w:rPr>
          <w:rFonts w:hint="eastAsia"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12"/>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hint="eastAsia" w:ascii="方正仿宋_GBK" w:eastAsia="方正仿宋简体"/>
          <w:sz w:val="32"/>
          <w:szCs w:val="32"/>
          <w:highlight w:val="none"/>
        </w:rPr>
        <w:t>本合同双方当事人：</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出让人：</w:t>
      </w:r>
      <w:r>
        <w:rPr>
          <w:rFonts w:hint="eastAsia" w:ascii="方正仿宋_GBK"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通讯地址：</w:t>
      </w:r>
      <w:r>
        <w:rPr>
          <w:rFonts w:hint="eastAsia" w:ascii="方正仿宋_GBK"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邮政编码：</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电话：</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传真：</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开户银行：</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账号：</w:t>
      </w:r>
      <w:r>
        <w:rPr>
          <w:rFonts w:eastAsia="方正仿宋简体"/>
          <w:sz w:val="32"/>
          <w:szCs w:val="32"/>
          <w:highlight w:val="non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5"/>
        <w:jc w:val="both"/>
        <w:rPr>
          <w:rFonts w:eastAsia="方正仿宋简体"/>
          <w:sz w:val="32"/>
          <w:szCs w:val="32"/>
          <w:highlight w:val="none"/>
        </w:rPr>
      </w:pPr>
      <w:r>
        <w:rPr>
          <w:rFonts w:hint="eastAsia" w:ascii="方正仿宋_GBK" w:eastAsia="方正仿宋简体"/>
          <w:sz w:val="32"/>
          <w:szCs w:val="32"/>
          <w:highlight w:val="none"/>
        </w:rPr>
        <w:t>受让人：</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eastAsia="方正仿宋简体"/>
          <w:sz w:val="32"/>
          <w:szCs w:val="32"/>
          <w:highlight w:val="none"/>
        </w:rPr>
        <w:softHyphen/>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通讯地址：</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邮政编码：</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电话：</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传真：</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开户银行：</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12"/>
        <w:spacing w:before="0" w:beforeAutospacing="0" w:after="0" w:afterAutospacing="0" w:line="600" w:lineRule="exact"/>
        <w:ind w:firstLine="640" w:firstLineChars="200"/>
        <w:jc w:val="both"/>
        <w:rPr>
          <w:rFonts w:eastAsia="方正仿宋简体"/>
          <w:sz w:val="32"/>
          <w:szCs w:val="32"/>
          <w:highlight w:val="none"/>
        </w:rPr>
      </w:pPr>
      <w:r>
        <w:rPr>
          <w:rFonts w:hint="eastAsia" w:ascii="方正仿宋_GBK" w:eastAsia="方正仿宋简体"/>
          <w:sz w:val="32"/>
          <w:szCs w:val="32"/>
          <w:highlight w:val="none"/>
        </w:rPr>
        <w:t>账号：</w:t>
      </w:r>
      <w:r>
        <w:rPr>
          <w:rFonts w:eastAsia="方正仿宋简体"/>
          <w:sz w:val="32"/>
          <w:szCs w:val="32"/>
          <w:highlight w:val="none"/>
          <w:u w:val="single"/>
        </w:rPr>
        <w:t xml:space="preserve">                       </w:t>
      </w:r>
      <w:r>
        <w:rPr>
          <w:rFonts w:hint="eastAsia" w:ascii="方正仿宋_GBK"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eastAsia="方正仿宋简体"/>
          <w:sz w:val="32"/>
          <w:szCs w:val="32"/>
          <w:highlight w:val="none"/>
          <w:u w:val="single"/>
        </w:rPr>
        <w:t xml:space="preserve"> </w:t>
      </w:r>
      <w:r>
        <w:rPr>
          <w:rFonts w:eastAsia="方正仿宋简体"/>
          <w:sz w:val="32"/>
          <w:szCs w:val="32"/>
          <w:highlight w:val="none"/>
          <w:u w:val="single"/>
        </w:rPr>
        <w:t xml:space="preserve">     </w:t>
      </w:r>
      <w:r>
        <w:rPr>
          <w:rFonts w:hint="eastAsia" w:ascii="方正仿宋_GBK" w:eastAsia="方正仿宋简体"/>
          <w:sz w:val="32"/>
          <w:szCs w:val="32"/>
          <w:highlight w:val="none"/>
        </w:rPr>
        <w:t>。</w:t>
      </w:r>
    </w:p>
    <w:p>
      <w:pPr>
        <w:pStyle w:val="6"/>
        <w:ind w:firstLine="640" w:firstLineChars="200"/>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6"/>
        <w:jc w:val="center"/>
        <w:rPr>
          <w:rFonts w:ascii="Times New Roman" w:hAnsi="Times New Roman" w:eastAsia="方正仿宋简体" w:cs="Times New Roman"/>
          <w:sz w:val="32"/>
          <w:szCs w:val="32"/>
          <w:highlight w:val="none"/>
        </w:rPr>
      </w:pPr>
    </w:p>
    <w:p>
      <w:pPr>
        <w:pStyle w:val="6"/>
        <w:jc w:val="center"/>
        <w:rPr>
          <w:rFonts w:ascii="Times New Roman" w:hAnsi="Times New Roman" w:eastAsia="方正仿宋简体" w:cs="Times New Roman"/>
          <w:sz w:val="32"/>
          <w:szCs w:val="32"/>
          <w:highlight w:val="none"/>
        </w:rPr>
      </w:pPr>
    </w:p>
    <w:p>
      <w:pPr>
        <w:pStyle w:val="6"/>
        <w:jc w:val="center"/>
        <w:rPr>
          <w:rFonts w:ascii="Times New Roman" w:hAnsi="Times New Roman" w:eastAsia="方正黑体_GBK" w:cs="Times New Roman"/>
          <w:sz w:val="32"/>
          <w:szCs w:val="32"/>
          <w:highlight w:val="none"/>
        </w:rPr>
      </w:pPr>
      <w:r>
        <w:rPr>
          <w:rFonts w:ascii="Times New Roman" w:hAnsi="Times New Roman" w:eastAsia="方正仿宋简体" w:cs="Times New Roman"/>
          <w:sz w:val="32"/>
          <w:szCs w:val="32"/>
          <w:highlight w:val="none"/>
        </w:rPr>
        <w:t xml:space="preserve"> </w:t>
      </w:r>
      <w:r>
        <w:rPr>
          <w:rFonts w:ascii="Times New Roman" w:hAnsi="Times New Roman" w:eastAsia="方正黑体_GBK" w:cs="Times New Roman"/>
          <w:sz w:val="32"/>
          <w:szCs w:val="32"/>
          <w:highlight w:val="none"/>
        </w:rPr>
        <w:t>第一章 总   则</w:t>
      </w:r>
    </w:p>
    <w:p>
      <w:pPr>
        <w:pStyle w:val="6"/>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12"/>
        <w:spacing w:before="0" w:beforeAutospacing="0" w:after="0" w:afterAutospacing="0" w:line="600" w:lineRule="exact"/>
        <w:ind w:firstLine="627" w:firstLineChars="196"/>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第一条  根据《中华人民共和国民法典》《中华人民共和国土地管理法》《中华人民共和国城市房地产管理法》等法律、有关行政法规及土地供应政策规定，双方本着平等、自愿、有偿、诚实信用的原则，订立本合同。</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第二条  出让土地的所有权属中华人民共和国，出让人根据法律的授权出让国有建设用地使用权，地下资源、埋藏物不属于国有建设用地使用权出让范围。      </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第三条  受让人对依法取得的国有建设用地，在出让期限内享有占有、使用、收益和依法处置的权利，有权利用该土地依法建造建筑物、构筑物及其附属设施。</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第二章 出让土地的交付与出让价款的缴纳</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第四条  本合同项下出让宗地编号为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，宗地总面积大写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平方米），其中出让宗地面积为大写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本合同项下的出让宗地坐落于</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pStyle w:val="12"/>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本合同项下出让宗地的平面界址为</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；出让宗地的平面界址图见附件1。</w:t>
      </w:r>
    </w:p>
    <w:p>
      <w:pPr>
        <w:pStyle w:val="12"/>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本合同项下出让宗地的竖向界限应结合宗地周边路网高程在审查建筑方案时合理确定。</w:t>
      </w:r>
    </w:p>
    <w:p>
      <w:pPr>
        <w:pStyle w:val="12"/>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u w:val="single"/>
        </w:rPr>
      </w:pPr>
      <w:r>
        <w:rPr>
          <w:rFonts w:ascii="Times New Roman" w:hAnsi="Times New Roman" w:eastAsia="方正仿宋简体"/>
          <w:sz w:val="32"/>
          <w:szCs w:val="32"/>
          <w:highlight w:val="none"/>
        </w:rPr>
        <w:t>出让宗地空间范围是以上述界址点所构成的垂直面和上、下界限高程平面封闭形成的空间范围。</w:t>
      </w:r>
    </w:p>
    <w:p>
      <w:pPr>
        <w:pStyle w:val="6"/>
        <w:spacing w:line="600" w:lineRule="exact"/>
        <w:ind w:firstLine="640" w:firstLineChars="200"/>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第五条  本合同项下出让宗地的用途为 </w:t>
      </w:r>
      <w:r>
        <w:rPr>
          <w:rFonts w:ascii="Times New Roman" w:hAnsi="Times New Roman" w:eastAsia="方正仿宋简体" w:cs="Times New Roman"/>
          <w:sz w:val="32"/>
          <w:szCs w:val="32"/>
          <w:highlight w:val="none"/>
          <w:u w:val="single"/>
        </w:rPr>
        <w:t xml:space="preserve">         用地</w:t>
      </w:r>
      <w:r>
        <w:rPr>
          <w:rFonts w:ascii="Times New Roman" w:hAnsi="Times New Roman" w:eastAsia="方正仿宋简体" w:cs="Times New Roman"/>
          <w:sz w:val="32"/>
          <w:szCs w:val="32"/>
          <w:highlight w:val="none"/>
        </w:rPr>
        <w:t>。</w:t>
      </w:r>
    </w:p>
    <w:p>
      <w:pPr>
        <w:spacing w:line="600" w:lineRule="exact"/>
        <w:ind w:firstLine="640" w:firstLineChars="200"/>
        <w:jc w:val="left"/>
        <w:rPr>
          <w:rFonts w:eastAsia="方正仿宋简体"/>
          <w:sz w:val="32"/>
          <w:szCs w:val="32"/>
          <w:highlight w:val="none"/>
        </w:rPr>
      </w:pPr>
      <w:r>
        <w:rPr>
          <w:rFonts w:eastAsia="方正仿宋简体"/>
          <w:sz w:val="32"/>
          <w:szCs w:val="32"/>
          <w:highlight w:val="none"/>
        </w:rPr>
        <w:t>第六条   受让人按本合同第十条约定时限缴清全部国有建设用地使用权出让价款（含延迟缴纳国有建设用地使用权出让价款及违约金）并安装完成《建设项目用地信息公示牌》后，应在10个工作日内向出让人提出交地申请，出让人同意在</w:t>
      </w:r>
      <w:r>
        <w:rPr>
          <w:rFonts w:eastAsia="方正仿宋简体"/>
          <w:sz w:val="32"/>
          <w:szCs w:val="32"/>
          <w:highlight w:val="none"/>
          <w:u w:val="single"/>
        </w:rPr>
        <w:t xml:space="preserve">    </w:t>
      </w:r>
      <w:r>
        <w:rPr>
          <w:rFonts w:eastAsia="方正仿宋简体"/>
          <w:sz w:val="32"/>
          <w:szCs w:val="32"/>
          <w:highlight w:val="none"/>
        </w:rPr>
        <w:t>年</w:t>
      </w:r>
      <w:r>
        <w:rPr>
          <w:rFonts w:eastAsia="方正仿宋简体"/>
          <w:sz w:val="32"/>
          <w:szCs w:val="32"/>
          <w:highlight w:val="none"/>
          <w:u w:val="single"/>
        </w:rPr>
        <w:t xml:space="preserve">   </w:t>
      </w:r>
      <w:r>
        <w:rPr>
          <w:rFonts w:eastAsia="方正仿宋简体"/>
          <w:sz w:val="32"/>
          <w:szCs w:val="32"/>
          <w:highlight w:val="none"/>
        </w:rPr>
        <w:t>月</w:t>
      </w:r>
      <w:r>
        <w:rPr>
          <w:rFonts w:eastAsia="方正仿宋简体"/>
          <w:sz w:val="32"/>
          <w:szCs w:val="32"/>
          <w:highlight w:val="none"/>
          <w:u w:val="single"/>
        </w:rPr>
        <w:t xml:space="preserve">   </w:t>
      </w:r>
      <w:r>
        <w:rPr>
          <w:rFonts w:eastAsia="方正仿宋简体"/>
          <w:sz w:val="32"/>
          <w:szCs w:val="32"/>
          <w:highlight w:val="none"/>
        </w:rPr>
        <w:t>日前将出让宗地交付给受让人。</w:t>
      </w:r>
    </w:p>
    <w:p>
      <w:pPr>
        <w:pStyle w:val="12"/>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出让人同意在交付土地时该宗地应达到本条第</w:t>
      </w:r>
      <w:r>
        <w:rPr>
          <w:rFonts w:ascii="Times New Roman" w:hAnsi="Times New Roman" w:eastAsia="方正仿宋简体"/>
          <w:sz w:val="32"/>
          <w:szCs w:val="32"/>
          <w:highlight w:val="none"/>
          <w:u w:val="single"/>
        </w:rPr>
        <w:t xml:space="preserve"> （二） </w:t>
      </w:r>
      <w:r>
        <w:rPr>
          <w:rFonts w:ascii="Times New Roman" w:hAnsi="Times New Roman" w:eastAsia="方正仿宋简体"/>
          <w:sz w:val="32"/>
          <w:szCs w:val="32"/>
          <w:highlight w:val="none"/>
        </w:rPr>
        <w:t>项规定的土地条件：</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（一）场地平整达到</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周围基础设施达到</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（二）现状土地条件</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第七条  本合同项下的国有建设用地使用权出让年期为</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年，按本合同第六条约定的交付土地之日起算。</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第八条  本合同项下宗地的地表国有建设用地使用权出让价款为人民币大写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 （小写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元），每平方米人民币大写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w:t>
      </w:r>
    </w:p>
    <w:p>
      <w:pPr>
        <w:pStyle w:val="12"/>
        <w:widowControl w:val="0"/>
        <w:spacing w:before="0" w:beforeAutospacing="0" w:after="0" w:afterAutospacing="0" w:line="600" w:lineRule="exact"/>
        <w:ind w:firstLine="640" w:firstLineChars="200"/>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第九条  本合同项下宗地的定金为人民币大写</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（小写</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元），定金抵作首期国有建设用地使用权出让价款。</w:t>
      </w:r>
    </w:p>
    <w:p>
      <w:pPr>
        <w:pStyle w:val="12"/>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第十条  受让人同意按照本条第一款第</w:t>
      </w:r>
      <w:r>
        <w:rPr>
          <w:rFonts w:ascii="Times New Roman" w:hAnsi="Times New Roman" w:eastAsia="方正仿宋简体"/>
          <w:sz w:val="32"/>
          <w:szCs w:val="32"/>
          <w:highlight w:val="none"/>
          <w:u w:val="single"/>
        </w:rPr>
        <w:t xml:space="preserve"> （二） </w:t>
      </w:r>
      <w:r>
        <w:rPr>
          <w:rFonts w:ascii="Times New Roman" w:hAnsi="Times New Roman" w:eastAsia="方正仿宋简体"/>
          <w:sz w:val="32"/>
          <w:szCs w:val="32"/>
          <w:highlight w:val="none"/>
        </w:rPr>
        <w:t>项的规定向出让人支付地表国有建设用地使用权出让价款：</w:t>
      </w:r>
    </w:p>
    <w:p>
      <w:pPr>
        <w:pStyle w:val="12"/>
        <w:widowControl w:val="0"/>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（一）本合同签订之日起</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日内，一次性付清国有建设用地使用权出让价款；</w:t>
      </w:r>
    </w:p>
    <w:p>
      <w:pPr>
        <w:pStyle w:val="12"/>
        <w:widowControl w:val="0"/>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（二）按以下时间和金额分</w:t>
      </w:r>
      <w:r>
        <w:rPr>
          <w:rFonts w:ascii="Times New Roman" w:hAnsi="Times New Roman" w:eastAsia="方正仿宋简体"/>
          <w:sz w:val="32"/>
          <w:szCs w:val="32"/>
          <w:highlight w:val="none"/>
          <w:u w:val="single"/>
        </w:rPr>
        <w:t xml:space="preserve"> 二 </w:t>
      </w:r>
      <w:r>
        <w:rPr>
          <w:rFonts w:ascii="Times New Roman" w:hAnsi="Times New Roman" w:eastAsia="方正仿宋简体"/>
          <w:sz w:val="32"/>
          <w:szCs w:val="32"/>
          <w:highlight w:val="none"/>
        </w:rPr>
        <w:t>期向出让人支付地表国有建设用地使用权出让价款。</w:t>
      </w:r>
    </w:p>
    <w:p>
      <w:pPr>
        <w:pStyle w:val="12"/>
        <w:widowControl w:val="0"/>
        <w:spacing w:before="0" w:beforeAutospacing="0" w:after="0" w:afterAutospacing="0" w:line="600" w:lineRule="exact"/>
        <w:ind w:firstLine="63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第一期  人民币大写 </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 xml:space="preserve">万元（小写 </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元），付款时间：</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年</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月</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 xml:space="preserve">日之前。 </w:t>
      </w:r>
    </w:p>
    <w:p>
      <w:pPr>
        <w:pStyle w:val="6"/>
        <w:spacing w:line="600" w:lineRule="exact"/>
        <w:ind w:firstLine="630"/>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第二期  人民币大写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万元（小写 </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元），付款时间：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 xml:space="preserve">日之前。    </w:t>
      </w:r>
    </w:p>
    <w:p>
      <w:pPr>
        <w:pStyle w:val="12"/>
        <w:widowControl w:val="0"/>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第十一条  受让人应在按本合同约定付清本宗地全部国有建设用地使用权出让价款（含延迟缴纳国有建设用地使用权出让价款及违约金）及相关税费后，持交地确认书、本合同和国有建设用地使用权出让价款缴纳凭证等相关证明材料，申请出让国有建设用地使用权登记。</w:t>
      </w:r>
    </w:p>
    <w:p>
      <w:pPr>
        <w:pStyle w:val="6"/>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第三章  土地开发建设与利用</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6"/>
        <w:spacing w:line="600" w:lineRule="exact"/>
        <w:ind w:firstLine="640" w:firstLineChars="200"/>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第十二条  受让人同意本合同项下宗地用于工业项目建设，受让人同意本合同项下宗地的项目固定资产总投资不低于经批准或登记备案的金额人民币大写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万元（小写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万元），投资强度不低于每平方米人民币大写</w:t>
      </w:r>
      <w:r>
        <w:rPr>
          <w:rFonts w:ascii="Times New Roman" w:hAnsi="Times New Roman" w:eastAsia="方正仿宋简体" w:cs="Times New Roman"/>
          <w:sz w:val="32"/>
          <w:szCs w:val="32"/>
          <w:highlight w:val="none"/>
          <w:u w:val="single"/>
        </w:rPr>
        <w:t xml:space="preserve">     </w:t>
      </w:r>
      <w:r>
        <w:rPr>
          <w:rFonts w:hint="eastAsia"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元（小写</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元）。本合同项下宗地建设项目的固定资产总投资包括建筑物、构筑物及其附属设施、设备投资和出让价款等。</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第十三条  受让人在本合同项下宗地范围内新建建筑物、构筑物及其附属设施的，应符合市（县）政府规划管理部门确定的出让宗地规划条件（见附件3）。其中：</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主体建筑物性质</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附属建筑物性质</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建筑总面积：</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平方米；</w:t>
      </w:r>
    </w:p>
    <w:p>
      <w:pPr>
        <w:pStyle w:val="12"/>
        <w:spacing w:before="0" w:beforeAutospacing="0" w:after="0" w:afterAutospacing="0" w:line="600" w:lineRule="exact"/>
        <w:ind w:firstLine="640" w:firstLineChars="200"/>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建筑容积率：</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建筑密度：</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绿地率：</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建筑限高：</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其他土地利用要求按</w:t>
      </w:r>
      <w:r>
        <w:rPr>
          <w:rFonts w:ascii="Times New Roman" w:hAnsi="Times New Roman" w:eastAsia="方正仿宋简体"/>
          <w:sz w:val="32"/>
          <w:szCs w:val="32"/>
          <w:highlight w:val="none"/>
          <w:u w:val="single"/>
        </w:rPr>
        <w:t xml:space="preserve">                            </w:t>
      </w:r>
      <w:r>
        <w:rPr>
          <w:rFonts w:ascii="Times New Roman" w:hAnsi="Times New Roman" w:eastAsia="方正仿宋简体"/>
          <w:sz w:val="32"/>
          <w:szCs w:val="32"/>
          <w:highlight w:val="none"/>
        </w:rPr>
        <w:t>。</w:t>
      </w:r>
    </w:p>
    <w:p>
      <w:pPr>
        <w:pStyle w:val="6"/>
        <w:spacing w:line="600" w:lineRule="exact"/>
        <w:ind w:firstLine="645"/>
        <w:jc w:val="lef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第十四条  受让人同意本合同项下宗地用于工业项目建设，根据规划部门确定的规划设计条件，</w:t>
      </w:r>
      <w:r>
        <w:rPr>
          <w:rFonts w:ascii="Times New Roman" w:hAnsi="Times New Roman" w:eastAsia="方正仿宋简体" w:cs="Times New Roman"/>
          <w:spacing w:val="2"/>
          <w:sz w:val="32"/>
          <w:szCs w:val="32"/>
          <w:highlight w:val="none"/>
        </w:rPr>
        <w:t>本合同受让宗地范围内用于企业内部行政办公及生活服务设施的占地面积不超过受让宗地面积</w:t>
      </w:r>
      <w:r>
        <w:rPr>
          <w:rFonts w:ascii="Times New Roman" w:hAnsi="Times New Roman" w:eastAsia="方正仿宋简体" w:cs="Times New Roman"/>
          <w:sz w:val="32"/>
          <w:szCs w:val="32"/>
          <w:highlight w:val="none"/>
        </w:rPr>
        <w:t>的</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％，即不超过</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平方米，建筑面积不超过</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平方米。受让人同意不在受让宗地范围内建造成套住宅、专家楼、宾馆、招待所和培训中心等非生产性设施；</w:t>
      </w:r>
    </w:p>
    <w:p>
      <w:pPr>
        <w:pStyle w:val="6"/>
        <w:spacing w:line="600" w:lineRule="exact"/>
        <w:ind w:firstLine="645"/>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第十五条  受让人同意本合同项下宗地建设项目在</w:t>
      </w:r>
      <w:r>
        <w:rPr>
          <w:rFonts w:ascii="Times New Roman" w:hAnsi="Times New Roman" w:eastAsia="方正仿宋简体" w:cs="Times New Roman"/>
          <w:sz w:val="32"/>
          <w:szCs w:val="32"/>
          <w:highlight w:val="none"/>
          <w:u w:val="single"/>
        </w:rPr>
        <w:t xml:space="preserve">   </w:t>
      </w:r>
    </w:p>
    <w:p>
      <w:pPr>
        <w:pStyle w:val="6"/>
        <w:spacing w:line="600" w:lineRule="exact"/>
        <w:rPr>
          <w:rFonts w:ascii="Times New Roman" w:hAnsi="Times New Roman" w:eastAsia="方正仿宋简体" w:cs="Times New Roman"/>
          <w:sz w:val="32"/>
          <w:szCs w:val="32"/>
          <w:highlight w:val="none"/>
          <w:u w:val="single"/>
        </w:rPr>
      </w:pP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日之前开工，在</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日之前竣工。</w:t>
      </w:r>
    </w:p>
    <w:p>
      <w:pPr>
        <w:pStyle w:val="6"/>
        <w:spacing w:line="600" w:lineRule="exact"/>
        <w:ind w:firstLine="645"/>
        <w:rPr>
          <w:rFonts w:ascii="Times New Roman" w:hAnsi="Times New Roman" w:eastAsia="方正仿宋简体" w:cstheme="minorBidi"/>
          <w:kern w:val="0"/>
          <w:sz w:val="32"/>
          <w:szCs w:val="32"/>
          <w:highlight w:val="none"/>
          <w:lang w:val="en-US" w:eastAsia="zh-CN" w:bidi="ar-SA"/>
        </w:rPr>
      </w:pPr>
      <w:r>
        <w:rPr>
          <w:rFonts w:hint="eastAsia" w:ascii="Times New Roman" w:hAnsi="Times New Roman" w:eastAsia="方正仿宋简体" w:cstheme="minorBidi"/>
          <w:kern w:val="0"/>
          <w:sz w:val="32"/>
          <w:szCs w:val="32"/>
          <w:highlight w:val="none"/>
          <w:lang w:val="en-US" w:eastAsia="zh-CN" w:bidi="ar-SA"/>
        </w:rPr>
        <w:t>受让人不能按期开工、竣工的，按《闲置土地处置办法》的相关规定办理。</w:t>
      </w:r>
    </w:p>
    <w:p>
      <w:pPr>
        <w:pStyle w:val="12"/>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第十六条  受让人在本合同项下宗地内进行建设时，有关用水、用气、污水及其他设施与宗地外主管线、用电变电站接口和引入工程，应按有关规定办理。</w:t>
      </w:r>
    </w:p>
    <w:p>
      <w:pPr>
        <w:pStyle w:val="6"/>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受让人同意政府为公用事业需要而敷设的各种管道与管线进出、通过、穿越受让宗地，但由此影响受让宗地使用功能的，政府或公用事业营建主体应当给予合理补偿。</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第十七条  受让人应当按照本合同约定的土地用途、容积率利用土地，不得擅自改变。在出让期限内，需要改变本合同约定的土地用途的，双方同意按照本条第</w:t>
      </w:r>
      <w:r>
        <w:rPr>
          <w:rFonts w:ascii="Times New Roman" w:hAnsi="Times New Roman" w:eastAsia="方正仿宋简体" w:cs="Times New Roman"/>
          <w:sz w:val="32"/>
          <w:szCs w:val="32"/>
          <w:highlight w:val="none"/>
          <w:u w:val="single"/>
        </w:rPr>
        <w:t>（一）</w:t>
      </w:r>
      <w:r>
        <w:rPr>
          <w:rFonts w:ascii="Times New Roman" w:hAnsi="Times New Roman" w:eastAsia="方正仿宋简体" w:cs="Times New Roman"/>
          <w:sz w:val="32"/>
          <w:szCs w:val="32"/>
          <w:highlight w:val="none"/>
        </w:rPr>
        <w:t>项规定办理：</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（一）由出让人有偿收回建设用地使用权；</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第十八条  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第十九条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第四章  国有建设用地使用权转让、出租、抵押</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第二十条  受让人按照本合同约定支付全部国有建设用地使用权出让价款，领取不动产权证书后，有权将本合同项下的全部或部分国有建设用地使用权转让、出租、抵押。首次转让的，应当按照本合同约定进行投资开发，已形成工业用地或其他建设用地条件。</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第二十一条  国有建设用地使用权的转让、出租及抵押合同，不得违背国家法律、法规规定和本合同约定。</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第二十二条  国有建设用地使用权全部或部分转让后，本合同和土地登记文件中载明的权利、义务随之转移，国有建设用地使用权的使用年限为本合同约定的使用年限减去已经使用年限后的剩余年限。</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本合同项下的全部或部分国有建设用地使用权出租后，本合同和土地登记文件中载明的权利、义务仍由受让人承担。</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第二十三条  国有建设用地使用权转让、抵押的，转让、抵押双方应持本合同和相应的转让、抵押合同及不动产权证书，到自然资源管理部门申请办理土地变更登记。</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第五章</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期限届满   </w:t>
      </w:r>
    </w:p>
    <w:p>
      <w:pPr>
        <w:pStyle w:val="6"/>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第二十四条  本合同约定的使用年限届满，土地使用者需要继续使用本合同项下宗地的，应当至迟于届满前一年向出让人提交续期申请书，除根据社会公共利益需要收回本合同项下宗地的，出让人应当予以批准。</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住宅建设用地使用权期限届满的，自动续期。</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出让人同意续期的，土地使用者应当依法办理出让、租赁等有偿用地手续，重新签订出让、租赁等土地有偿使用合同，支付土地出让价款、租金等土地有偿使用费。</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第二十五条  土地出让期限届满，土地使用者申请续期，因社会公共利益需要未获批准的，土地使用者应当交回不动产权证书，并依照规定办理国有建设用地使用权注销登记，国有建设用地使用权由出让人无偿收回。出让人和土地使用者同意本合同项下宗地上的建筑物、构筑物及其附属设施，按本条第</w:t>
      </w:r>
      <w:r>
        <w:rPr>
          <w:rFonts w:ascii="Times New Roman" w:hAnsi="Times New Roman" w:eastAsia="方正仿宋简体"/>
          <w:sz w:val="32"/>
          <w:szCs w:val="32"/>
          <w:highlight w:val="none"/>
          <w:u w:val="single"/>
        </w:rPr>
        <w:t>（一）</w:t>
      </w:r>
      <w:r>
        <w:rPr>
          <w:rFonts w:ascii="Times New Roman" w:hAnsi="Times New Roman" w:eastAsia="方正仿宋简体"/>
          <w:sz w:val="32"/>
          <w:szCs w:val="32"/>
          <w:highlight w:val="none"/>
        </w:rPr>
        <w:t>项约定履行：</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（一）由出让人收回地上建筑物、构筑物及其附属设施，并根据收回时地上建筑物、构筑物及其附属设施的残余价值，给予土地使用者相应补偿；</w:t>
      </w:r>
    </w:p>
    <w:p>
      <w:pPr>
        <w:pStyle w:val="12"/>
        <w:spacing w:before="0" w:beforeAutospacing="0" w:after="0" w:afterAutospacing="0" w:line="600" w:lineRule="exact"/>
        <w:ind w:firstLine="640" w:firstLineChars="200"/>
        <w:jc w:val="both"/>
        <w:rPr>
          <w:rFonts w:ascii="Times New Roman" w:hAnsi="Times New Roman" w:eastAsia="方正仿宋简体"/>
          <w:kern w:val="0"/>
          <w:sz w:val="32"/>
          <w:szCs w:val="32"/>
          <w:highlight w:val="none"/>
        </w:rPr>
      </w:pPr>
      <w:r>
        <w:rPr>
          <w:rFonts w:ascii="Times New Roman" w:hAnsi="Times New Roman" w:eastAsia="方正仿宋简体"/>
          <w:sz w:val="32"/>
          <w:szCs w:val="32"/>
          <w:highlight w:val="none"/>
        </w:rPr>
        <w:t>（二）由出让人无偿收回地上建筑物、构筑物及其附属设施。</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第二十六条  土地出让期限届满，土地使用者没有申请续期的，土地使用者应当交回不动产权证书，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6"/>
        <w:spacing w:line="600" w:lineRule="exact"/>
        <w:ind w:firstLine="645"/>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第六章</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不可抗力</w:t>
      </w:r>
    </w:p>
    <w:p>
      <w:pPr>
        <w:pStyle w:val="6"/>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第二十七条 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第二十八条 遇有不可抗力的一方，应在7日内将不可抗力情况以信函、电报、传真等书面形式通知另一方，并在不可抗力发生后15日内，向另一方提交本合同部分或全部不能履行或需要延期履行的报告及证明。   </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第七章 </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违约责任</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 </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u w:val="single"/>
        </w:rPr>
      </w:pPr>
      <w:r>
        <w:rPr>
          <w:rFonts w:ascii="Times New Roman" w:hAnsi="Times New Roman" w:eastAsia="方正仿宋简体"/>
          <w:sz w:val="32"/>
          <w:szCs w:val="32"/>
          <w:highlight w:val="none"/>
        </w:rPr>
        <w:t>第二十九条  受让人应当按照本合同约定，按时支付国有建设用地使用权出让价款。受让人不能按时支付国有建设用地使用权出让价款的，自滞纳之日起，</w:t>
      </w:r>
      <w:r>
        <w:rPr>
          <w:rFonts w:ascii="Times New Roman" w:hAnsi="Times New Roman" w:eastAsia="方正仿宋简体"/>
          <w:spacing w:val="26"/>
          <w:sz w:val="32"/>
          <w:szCs w:val="32"/>
          <w:highlight w:val="none"/>
        </w:rPr>
        <w:t>每日按迟延支付款项</w:t>
      </w:r>
      <w:r>
        <w:rPr>
          <w:rFonts w:ascii="Times New Roman" w:hAnsi="Times New Roman" w:eastAsia="方正仿宋简体"/>
          <w:sz w:val="32"/>
          <w:szCs w:val="32"/>
          <w:highlight w:val="none"/>
        </w:rPr>
        <w:t>的</w:t>
      </w:r>
      <w:r>
        <w:rPr>
          <w:rFonts w:ascii="Times New Roman" w:hAnsi="Times New Roman" w:eastAsia="方正仿宋简体"/>
          <w:sz w:val="32"/>
          <w:szCs w:val="32"/>
          <w:highlight w:val="none"/>
          <w:u w:val="single"/>
        </w:rPr>
        <w:t xml:space="preserve">1 </w:t>
      </w:r>
      <w:r>
        <w:rPr>
          <w:rFonts w:ascii="Times New Roman" w:hAnsi="Times New Roman" w:eastAsia="方正仿宋简体"/>
          <w:sz w:val="32"/>
          <w:szCs w:val="32"/>
          <w:highlight w:val="none"/>
        </w:rPr>
        <w:t>‰向出让人缴纳违约金，延期付款超过60日，经出让人催交后仍不能支付国有建设用地使用权出让价款（含延迟缴纳国有建设用地使用权出让价款违约金）的，出让人有权解除合同，受让人无权要求返还定金，出让人并可请求受让人赔偿损失。</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第三十条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12"/>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（一）受让人在本合同约定的开工建设日期届满一年前不少于60日向出让人提出申请的，出让人在扣除定金后退还受让人已支付的国有建设用地使用权出让价款；</w:t>
      </w:r>
    </w:p>
    <w:p>
      <w:pPr>
        <w:pStyle w:val="12"/>
        <w:spacing w:before="0" w:beforeAutospacing="0" w:after="0" w:afterAutospacing="0" w:line="600" w:lineRule="exact"/>
        <w:ind w:firstLine="645"/>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二）受让人在本合同约定的开工建设日期超过一年但未满二年，并在届满二年前不少于60日向出让人提出申请的，出让人应在扣除本合同约定的定金，并按照规定征收土地闲置费后，将剩余的已付国有建设用地使用权出让价款退还受让人。</w:t>
      </w:r>
    </w:p>
    <w:p>
      <w:pPr>
        <w:pStyle w:val="12"/>
        <w:spacing w:before="0" w:beforeAutospacing="0" w:after="0" w:afterAutospacing="0" w:line="600" w:lineRule="exact"/>
        <w:ind w:firstLine="645"/>
        <w:jc w:val="both"/>
        <w:rPr>
          <w:rFonts w:ascii="Times New Roman" w:hAnsi="Times New Roman" w:eastAsia="方正仿宋简体"/>
          <w:kern w:val="0"/>
          <w:sz w:val="32"/>
          <w:szCs w:val="32"/>
          <w:highlight w:val="none"/>
        </w:rPr>
      </w:pPr>
      <w:r>
        <w:rPr>
          <w:rFonts w:ascii="Times New Roman" w:hAnsi="Times New Roman" w:eastAsia="方正仿宋简体"/>
          <w:sz w:val="32"/>
          <w:szCs w:val="32"/>
          <w:highlight w:val="none"/>
        </w:rPr>
        <w:t>第三十一条  受让人造成土地闲置，闲置满一年不满两年的，应依法缴纳土地闲置费；土地闲置满两年且未开工建设的，出让人有权无偿收回国有建设用地使用权。</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第三十二条  受让人未能按照本合同约定日期或同意延建所另行约定日期开工建设的按照闲置土地管理办法相关规定办理；</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受让人未能按照本合同约定日期或同意延建所另行约定日期竣工的按照闲置土地管理办法相关规定办理。</w:t>
      </w:r>
    </w:p>
    <w:p>
      <w:pPr>
        <w:pStyle w:val="6"/>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第三十三条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第三十四条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第三十五条  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Times New Roman" w:hAnsi="Times New Roman" w:eastAsia="方正仿宋简体" w:cs="Times New Roman"/>
          <w:sz w:val="32"/>
          <w:szCs w:val="32"/>
          <w:highlight w:val="none"/>
          <w:u w:val="single"/>
        </w:rPr>
        <w:t xml:space="preserve">  /  </w:t>
      </w:r>
      <w:r>
        <w:rPr>
          <w:rFonts w:ascii="Times New Roman" w:hAnsi="Times New Roman" w:eastAsia="方正仿宋简体" w:cs="Times New Roman"/>
          <w:sz w:val="32"/>
          <w:szCs w:val="32"/>
          <w:highlight w:val="none"/>
        </w:rPr>
        <w:t>‰的违约金，并自行拆除相应的绿化和建筑设施。</w:t>
      </w:r>
    </w:p>
    <w:p>
      <w:pPr>
        <w:spacing w:line="600" w:lineRule="exact"/>
        <w:ind w:firstLine="640" w:firstLineChars="200"/>
        <w:rPr>
          <w:rFonts w:eastAsia="方正仿宋简体"/>
          <w:sz w:val="32"/>
          <w:szCs w:val="32"/>
          <w:highlight w:val="none"/>
        </w:rPr>
      </w:pPr>
      <w:r>
        <w:rPr>
          <w:rFonts w:eastAsia="方正仿宋简体"/>
          <w:sz w:val="32"/>
          <w:szCs w:val="32"/>
          <w:highlight w:val="none"/>
        </w:rPr>
        <w:t>第三十六条   若因受让人未按照《国有建设用地使用权出让合同》约定期限缴清全部国有建设用地使用权出让价款（含延迟缴纳国有建设用地使用权出让价款违约金），或因受让人未按约定时限提出交地申请的，出让人不承担未按约定时间交地的违约责任。受让人仍需按出让合同约定的开竣工时间执行，并承担一切责任。</w:t>
      </w:r>
    </w:p>
    <w:p>
      <w:pPr>
        <w:pStyle w:val="6"/>
        <w:spacing w:line="600" w:lineRule="exact"/>
        <w:ind w:firstLine="645"/>
        <w:rPr>
          <w:rFonts w:ascii="Times New Roman" w:hAnsi="Times New Roman" w:eastAsia="方正仿宋简体" w:cs="Times New Roman"/>
          <w:color w:val="auto"/>
          <w:sz w:val="32"/>
          <w:szCs w:val="32"/>
          <w:highlight w:val="none"/>
        </w:rPr>
      </w:pPr>
      <w:r>
        <w:rPr>
          <w:rFonts w:hint="eastAsia" w:ascii="Times New Roman" w:hAnsi="Times New Roman" w:eastAsia="方正仿宋简体"/>
          <w:color w:val="auto"/>
          <w:sz w:val="32"/>
          <w:szCs w:val="32"/>
          <w:highlight w:val="none"/>
        </w:rPr>
        <w:t>第三十七条  因政府、政府有关部门的原因导致出让人未能按期交付土地或交付的土地未能达到本合同约定的土地条件或单方改变土地使用条件的，受让人不追究违约责任，土地使用年期自实际交付土地之日起算，开竣工时间按实际交付土地之日起顺延。</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第八章</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适用法律及争议解决</w:t>
      </w:r>
    </w:p>
    <w:p>
      <w:pPr>
        <w:pStyle w:val="6"/>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第三十八条  本合同订立、效力、解释、履行及争议的解决，适用中华人民共和国法律。</w:t>
      </w:r>
    </w:p>
    <w:p>
      <w:pPr>
        <w:pStyle w:val="12"/>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第三十九条  因履行本合同发生争议，由争议双方协商解决，协商不成的，按本条第</w:t>
      </w:r>
      <w:r>
        <w:rPr>
          <w:rFonts w:ascii="Times New Roman" w:hAnsi="Times New Roman" w:eastAsia="方正仿宋简体"/>
          <w:sz w:val="32"/>
          <w:szCs w:val="32"/>
          <w:highlight w:val="none"/>
          <w:u w:val="single"/>
        </w:rPr>
        <w:t>（二）</w:t>
      </w:r>
      <w:r>
        <w:rPr>
          <w:rFonts w:ascii="Times New Roman" w:hAnsi="Times New Roman" w:eastAsia="方正仿宋简体"/>
          <w:sz w:val="32"/>
          <w:szCs w:val="32"/>
          <w:highlight w:val="none"/>
        </w:rPr>
        <w:t>项约定的方式解决：</w:t>
      </w:r>
    </w:p>
    <w:p>
      <w:pPr>
        <w:pStyle w:val="12"/>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 xml:space="preserve"> </w:t>
      </w:r>
      <w:r>
        <w:rPr>
          <w:rFonts w:ascii="Times New Roman" w:hAnsi="Times New Roman" w:eastAsia="方正仿宋简体"/>
          <w:sz w:val="32"/>
          <w:szCs w:val="32"/>
          <w:highlight w:val="none"/>
        </w:rPr>
        <w:t xml:space="preserve"> （一）提交</w:t>
      </w:r>
      <w:r>
        <w:rPr>
          <w:rFonts w:ascii="Times New Roman" w:hAnsi="Times New Roman" w:eastAsia="方正仿宋简体"/>
          <w:sz w:val="32"/>
          <w:szCs w:val="32"/>
          <w:highlight w:val="none"/>
          <w:u w:val="single"/>
        </w:rPr>
        <w:t xml:space="preserve">   /   </w:t>
      </w:r>
      <w:r>
        <w:rPr>
          <w:rFonts w:ascii="Times New Roman" w:hAnsi="Times New Roman" w:eastAsia="方正仿宋简体"/>
          <w:sz w:val="32"/>
          <w:szCs w:val="32"/>
          <w:highlight w:val="none"/>
        </w:rPr>
        <w:t>仲裁委员会仲裁；</w:t>
      </w:r>
    </w:p>
    <w:p>
      <w:pPr>
        <w:pStyle w:val="12"/>
        <w:spacing w:before="0" w:beforeAutospacing="0" w:after="0" w:afterAutospacing="0" w:line="600" w:lineRule="exact"/>
        <w:jc w:val="both"/>
        <w:rPr>
          <w:rFonts w:ascii="Times New Roman" w:hAnsi="Times New Roman" w:eastAsia="方正仿宋简体"/>
          <w:sz w:val="32"/>
          <w:szCs w:val="32"/>
          <w:highlight w:val="none"/>
        </w:rPr>
      </w:pPr>
      <w:r>
        <w:rPr>
          <w:rFonts w:ascii="Times New Roman" w:hAnsi="Times New Roman" w:eastAsia="方正仿宋简体"/>
          <w:sz w:val="32"/>
          <w:szCs w:val="32"/>
          <w:highlight w:val="none"/>
        </w:rPr>
        <w:t xml:space="preserve">   </w:t>
      </w:r>
      <w:r>
        <w:rPr>
          <w:rFonts w:hint="eastAsia" w:ascii="Times New Roman" w:hAnsi="Times New Roman" w:eastAsia="方正仿宋简体"/>
          <w:sz w:val="32"/>
          <w:szCs w:val="32"/>
          <w:highlight w:val="none"/>
        </w:rPr>
        <w:t xml:space="preserve"> </w:t>
      </w:r>
      <w:r>
        <w:rPr>
          <w:rFonts w:ascii="Times New Roman" w:hAnsi="Times New Roman" w:eastAsia="方正仿宋简体"/>
          <w:sz w:val="32"/>
          <w:szCs w:val="32"/>
          <w:highlight w:val="none"/>
        </w:rPr>
        <w:t xml:space="preserve">（二）依法向人民法院起诉。   </w:t>
      </w:r>
    </w:p>
    <w:p>
      <w:pPr>
        <w:pStyle w:val="6"/>
        <w:spacing w:line="600" w:lineRule="exact"/>
        <w:rPr>
          <w:rFonts w:ascii="Times New Roman" w:hAnsi="Times New Roman" w:eastAsia="方正仿宋简体" w:cs="Times New Roman"/>
          <w:kern w:val="0"/>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jc w:val="center"/>
        <w:rPr>
          <w:rFonts w:ascii="Times New Roman" w:hAnsi="Times New Roman" w:eastAsia="方正黑体_GBK" w:cs="Times New Roman"/>
          <w:sz w:val="32"/>
          <w:szCs w:val="32"/>
          <w:highlight w:val="none"/>
        </w:rPr>
      </w:pPr>
      <w:r>
        <w:rPr>
          <w:rFonts w:ascii="Times New Roman" w:hAnsi="Times New Roman" w:eastAsia="方正黑体_GBK" w:cs="Times New Roman"/>
          <w:sz w:val="32"/>
          <w:szCs w:val="32"/>
          <w:highlight w:val="none"/>
        </w:rPr>
        <w:t xml:space="preserve">第九章 </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附</w:t>
      </w:r>
      <w:r>
        <w:rPr>
          <w:rFonts w:hint="eastAsia" w:ascii="Times New Roman" w:hAnsi="Times New Roman" w:eastAsia="方正黑体_GBK" w:cs="Times New Roman"/>
          <w:sz w:val="32"/>
          <w:szCs w:val="32"/>
          <w:highlight w:val="none"/>
        </w:rPr>
        <w:t xml:space="preserve"> </w:t>
      </w:r>
      <w:r>
        <w:rPr>
          <w:rFonts w:ascii="Times New Roman" w:hAnsi="Times New Roman" w:eastAsia="方正黑体_GBK" w:cs="Times New Roman"/>
          <w:sz w:val="32"/>
          <w:szCs w:val="32"/>
          <w:highlight w:val="none"/>
        </w:rPr>
        <w:t xml:space="preserve"> 则</w:t>
      </w:r>
    </w:p>
    <w:p>
      <w:pPr>
        <w:pStyle w:val="6"/>
        <w:spacing w:line="600" w:lineRule="exact"/>
        <w:jc w:val="center"/>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第四十条  本合同项下宗地出让方案业经</w:t>
      </w:r>
      <w:r>
        <w:rPr>
          <w:rFonts w:ascii="Times New Roman" w:hAnsi="Times New Roman" w:eastAsia="方正仿宋简体" w:cs="Times New Roman"/>
          <w:sz w:val="32"/>
          <w:szCs w:val="32"/>
          <w:highlight w:val="none"/>
          <w:u w:val="single"/>
        </w:rPr>
        <w:t>资阳市</w:t>
      </w:r>
      <w:r>
        <w:rPr>
          <w:rFonts w:ascii="Times New Roman" w:hAnsi="Times New Roman" w:eastAsia="方正仿宋简体" w:cs="Times New Roman"/>
          <w:sz w:val="32"/>
          <w:szCs w:val="32"/>
          <w:highlight w:val="none"/>
        </w:rPr>
        <w:t>人民政府批准，本合同自双方签订之日起生效。</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第四十一条  本合同双方当事人均保证本合同中所填写的姓名、通讯地址、电话、传真、开户银行、代理人等内容的真实有效，一方的信息如有变更，应于变更之日起15日内以书面形式告知对方，否则由此引起的无法及时告知的责任由信息变更方承担。</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第四十二条  本合同和附件共</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页整，以中文书写为准。</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第四十三条  本合同的价款、金额、面积等项应当同时以大、小写表示，大小写数额应当一致，不一致的，以大写为准。</w:t>
      </w:r>
    </w:p>
    <w:p>
      <w:pPr>
        <w:pStyle w:val="6"/>
        <w:spacing w:line="600" w:lineRule="exact"/>
        <w:ind w:firstLine="645"/>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第四十四条  本合同未尽事宜，可由双方约定后作为合同附件。</w:t>
      </w:r>
    </w:p>
    <w:p>
      <w:pPr>
        <w:pStyle w:val="6"/>
        <w:spacing w:line="600" w:lineRule="exact"/>
        <w:ind w:firstLine="640" w:firstLineChars="20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第四十五条  本合同一式</w:t>
      </w:r>
      <w:r>
        <w:rPr>
          <w:rFonts w:ascii="Times New Roman" w:hAnsi="Times New Roman" w:eastAsia="方正仿宋简体" w:cs="Times New Roman"/>
          <w:sz w:val="32"/>
          <w:szCs w:val="32"/>
          <w:highlight w:val="none"/>
          <w:u w:val="single"/>
        </w:rPr>
        <w:t>肆</w:t>
      </w:r>
      <w:r>
        <w:rPr>
          <w:rFonts w:ascii="Times New Roman" w:hAnsi="Times New Roman" w:eastAsia="方正仿宋简体" w:cs="Times New Roman"/>
          <w:sz w:val="32"/>
          <w:szCs w:val="32"/>
          <w:highlight w:val="none"/>
        </w:rPr>
        <w:t>份，出让人</w:t>
      </w:r>
      <w:r>
        <w:rPr>
          <w:rFonts w:ascii="Times New Roman" w:hAnsi="Times New Roman" w:eastAsia="方正仿宋简体" w:cs="Times New Roman"/>
          <w:sz w:val="32"/>
          <w:szCs w:val="32"/>
          <w:highlight w:val="none"/>
          <w:u w:val="single"/>
        </w:rPr>
        <w:t>贰</w:t>
      </w:r>
      <w:r>
        <w:rPr>
          <w:rFonts w:ascii="Times New Roman" w:hAnsi="Times New Roman" w:eastAsia="方正仿宋简体" w:cs="Times New Roman"/>
          <w:sz w:val="32"/>
          <w:szCs w:val="32"/>
          <w:highlight w:val="none"/>
        </w:rPr>
        <w:t>份，受让人</w:t>
      </w:r>
      <w:r>
        <w:rPr>
          <w:rFonts w:ascii="Times New Roman" w:hAnsi="Times New Roman" w:eastAsia="方正仿宋简体" w:cs="Times New Roman"/>
          <w:sz w:val="32"/>
          <w:szCs w:val="32"/>
          <w:highlight w:val="none"/>
          <w:u w:val="single"/>
        </w:rPr>
        <w:t>贰</w:t>
      </w:r>
      <w:r>
        <w:rPr>
          <w:rFonts w:ascii="Times New Roman" w:hAnsi="Times New Roman" w:eastAsia="方正仿宋简体" w:cs="Times New Roman"/>
          <w:sz w:val="32"/>
          <w:szCs w:val="32"/>
          <w:highlight w:val="none"/>
        </w:rPr>
        <w:t>份，具有同等法律效力。</w:t>
      </w:r>
    </w:p>
    <w:p>
      <w:pPr>
        <w:pStyle w:val="12"/>
        <w:spacing w:before="0" w:beforeAutospacing="0" w:after="0" w:afterAutospacing="0" w:line="600" w:lineRule="exact"/>
        <w:jc w:val="center"/>
        <w:rPr>
          <w:rFonts w:ascii="Times New Roman" w:hAnsi="Times New Roman" w:eastAsia="方正仿宋简体"/>
          <w:sz w:val="44"/>
          <w:szCs w:val="44"/>
          <w:highlight w:val="none"/>
        </w:rPr>
      </w:pPr>
      <w:r>
        <w:rPr>
          <w:rFonts w:ascii="Times New Roman" w:hAnsi="Times New Roman" w:eastAsia="方正仿宋简体"/>
          <w:sz w:val="44"/>
          <w:szCs w:val="44"/>
          <w:highlight w:val="none"/>
        </w:rPr>
        <w:t>补充条款</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一、该地块按土地现状“净地”</w:t>
      </w:r>
      <w:r>
        <w:rPr>
          <w:rFonts w:hint="eastAsia" w:eastAsia="方正仿宋简体"/>
          <w:sz w:val="32"/>
          <w:szCs w:val="32"/>
          <w:highlight w:val="none"/>
          <w:lang w:eastAsia="zh-CN"/>
        </w:rPr>
        <w:t>拍卖</w:t>
      </w:r>
      <w:r>
        <w:rPr>
          <w:rFonts w:eastAsia="方正仿宋简体"/>
          <w:sz w:val="32"/>
          <w:szCs w:val="32"/>
          <w:highlight w:val="none"/>
        </w:rPr>
        <w:t>出让。竞买申请人一经提交竞买申请书即视为对该地块现状“净地”无异议并全部接受。该宗地成交后，竞得人对现状“净地”产生异议的，一切责任由竞得人承担，出让人不承担任何责任。该地块如有地上杆管线及其它地上建（构）筑物由竞得人予以保护或搬迁，并自行承担开发建设过程中因宗地地上状况而额外增加的成本及费用，且不得以此作为延期开竣工的理由。</w:t>
      </w:r>
    </w:p>
    <w:p>
      <w:pPr>
        <w:spacing w:line="600" w:lineRule="exact"/>
        <w:ind w:firstLine="640" w:firstLineChars="200"/>
        <w:rPr>
          <w:rFonts w:eastAsia="方正仿宋简体"/>
          <w:sz w:val="32"/>
          <w:szCs w:val="32"/>
          <w:highlight w:val="none"/>
        </w:rPr>
      </w:pPr>
      <w:r>
        <w:rPr>
          <w:rFonts w:eastAsia="方正仿宋简体"/>
          <w:sz w:val="32"/>
          <w:szCs w:val="32"/>
          <w:highlight w:val="none"/>
        </w:rPr>
        <w:t>二、该地块地下状况（包括但不限于地下管线、埋藏物、地下文物等）不详，竞得人需在设计时按国家现行相关规范要求予以保护或搬迁，并自行承担开发建设过程中因宗地地下状况而额外增加的成本及费用。该地块场地平整及费用由竞得人自行负责。</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三、该地块国有建设用地使用权出让价款只包含地表建设用地使用权出让价款，如涉及地下空间建设用地使用权，在确立地下空间使用权时，需按相关政策规定缴纳地下空间使用权价款。</w:t>
      </w:r>
    </w:p>
    <w:p>
      <w:pPr>
        <w:spacing w:line="600" w:lineRule="exact"/>
        <w:ind w:firstLine="640" w:firstLineChars="200"/>
        <w:rPr>
          <w:rFonts w:eastAsia="方正仿宋简体"/>
          <w:szCs w:val="21"/>
          <w:highlight w:val="none"/>
        </w:rPr>
      </w:pPr>
      <w:r>
        <w:rPr>
          <w:rFonts w:eastAsia="方正仿宋简体"/>
          <w:sz w:val="32"/>
          <w:szCs w:val="32"/>
          <w:highlight w:val="none"/>
        </w:rPr>
        <w:t>四、该地块受让人在开发建设时若对地块范围外的土壤或山体造成破坏的，须负责对破坏的土壤或山体进行治理和恢复。</w:t>
      </w:r>
    </w:p>
    <w:p>
      <w:pPr>
        <w:spacing w:line="600" w:lineRule="exact"/>
        <w:ind w:firstLine="640" w:firstLineChars="200"/>
        <w:rPr>
          <w:rFonts w:eastAsia="方正仿宋简体"/>
          <w:sz w:val="32"/>
          <w:szCs w:val="32"/>
          <w:highlight w:val="none"/>
        </w:rPr>
      </w:pPr>
      <w:r>
        <w:rPr>
          <w:rFonts w:eastAsia="方正仿宋简体"/>
          <w:sz w:val="32"/>
          <w:szCs w:val="32"/>
          <w:highlight w:val="none"/>
        </w:rPr>
        <w:t>五、该地块受让人须自行出资开展地质灾害危险性评估工作，自行到发改、环保、水利、住建等部门办理立项（备案）、环评、水保、建设等相关具体手续。</w:t>
      </w:r>
    </w:p>
    <w:p>
      <w:pPr>
        <w:spacing w:line="600" w:lineRule="exact"/>
        <w:ind w:firstLine="640" w:firstLineChars="200"/>
        <w:rPr>
          <w:rFonts w:eastAsia="方正仿宋简体"/>
          <w:sz w:val="32"/>
          <w:szCs w:val="32"/>
          <w:highlight w:val="none"/>
        </w:rPr>
      </w:pPr>
      <w:r>
        <w:rPr>
          <w:rFonts w:eastAsia="方正仿宋简体"/>
          <w:sz w:val="32"/>
          <w:szCs w:val="32"/>
          <w:highlight w:val="none"/>
        </w:rPr>
        <w:t>六、该地块出让涉及的出让契税等相关税费，由受让人另行缴纳并到税务机关办理纳税手续。</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七、国有建设用地使用权出让合同（示范文本）部分条款释义详见附件4。</w:t>
      </w:r>
    </w:p>
    <w:p>
      <w:pPr>
        <w:spacing w:line="600" w:lineRule="exact"/>
        <w:ind w:firstLine="640" w:firstLineChars="200"/>
        <w:rPr>
          <w:rFonts w:eastAsia="方正仿宋简体"/>
          <w:sz w:val="32"/>
          <w:szCs w:val="32"/>
          <w:highlight w:val="none"/>
        </w:rPr>
      </w:pPr>
      <w:r>
        <w:rPr>
          <w:rFonts w:eastAsia="方正仿宋简体"/>
          <w:sz w:val="32"/>
          <w:szCs w:val="32"/>
          <w:highlight w:val="none"/>
        </w:rPr>
        <w:t>八、受让人须设立《建设项目用地信息公示牌》（详见附件5）方可申请交地。</w:t>
      </w:r>
    </w:p>
    <w:p>
      <w:pPr>
        <w:spacing w:line="600" w:lineRule="exact"/>
        <w:ind w:firstLine="640" w:firstLineChars="200"/>
        <w:rPr>
          <w:rFonts w:eastAsia="方正仿宋简体"/>
          <w:sz w:val="32"/>
          <w:szCs w:val="32"/>
          <w:highlight w:val="none"/>
        </w:rPr>
      </w:pPr>
      <w:r>
        <w:rPr>
          <w:rFonts w:eastAsia="方正仿宋简体"/>
          <w:sz w:val="32"/>
          <w:szCs w:val="32"/>
          <w:highlight w:val="none"/>
        </w:rPr>
        <w:t>九、受让人应在开、竣工30日前向资阳市临空经济区管理委员会（由资阳市自然资源和规划局临空经济区分局负责受理）提交《建设项目动工申报书》（详见附件6）和《建设项目竣工申报书》（详见附件7）。</w:t>
      </w:r>
    </w:p>
    <w:p>
      <w:pPr>
        <w:spacing w:line="600" w:lineRule="exact"/>
        <w:ind w:firstLine="640" w:firstLineChars="200"/>
        <w:rPr>
          <w:rFonts w:eastAsia="方正仿宋简体"/>
          <w:sz w:val="32"/>
          <w:szCs w:val="32"/>
          <w:highlight w:val="none"/>
        </w:rPr>
      </w:pPr>
      <w:r>
        <w:rPr>
          <w:rFonts w:eastAsia="方正仿宋简体"/>
          <w:sz w:val="32"/>
          <w:szCs w:val="32"/>
          <w:highlight w:val="none"/>
        </w:rPr>
        <w:t>十、合同价款缴费方式：缴费人可通过四川省电子税务局或到资阳市临空经济区政务服务中心税务窗口缴纳。</w:t>
      </w:r>
    </w:p>
    <w:p>
      <w:pPr>
        <w:pStyle w:val="6"/>
        <w:spacing w:line="600" w:lineRule="exact"/>
        <w:ind w:left="159" w:leftChars="76" w:firstLine="483" w:firstLineChars="151"/>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出让人（章）：               受让人（章）：</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法定代表人（委托代理人）    法定代表人(委托代理人)：</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（签字）：                  （签字）：</w:t>
      </w:r>
    </w:p>
    <w:p>
      <w:pPr>
        <w:pStyle w:val="6"/>
        <w:spacing w:line="600" w:lineRule="exact"/>
        <w:rPr>
          <w:rFonts w:ascii="Times New Roman" w:hAnsi="Times New Roman" w:eastAsia="方正仿宋简体" w:cs="Times New Roman"/>
          <w:sz w:val="32"/>
          <w:szCs w:val="32"/>
          <w:highlight w:val="none"/>
        </w:rPr>
      </w:pPr>
      <w:r>
        <w:rPr>
          <w:highlight w:val="none"/>
        </w:rPr>
        <w:drawing>
          <wp:anchor distT="0" distB="0" distL="114300" distR="114300" simplePos="0" relativeHeight="251672576" behindDoc="0" locked="0" layoutInCell="1" allowOverlap="1">
            <wp:simplePos x="0" y="0"/>
            <wp:positionH relativeFrom="column">
              <wp:posOffset>4067175</wp:posOffset>
            </wp:positionH>
            <wp:positionV relativeFrom="paragraph">
              <wp:posOffset>102870</wp:posOffset>
            </wp:positionV>
            <wp:extent cx="5252720" cy="4944110"/>
            <wp:effectExtent l="0" t="0" r="5080" b="0"/>
            <wp:wrapNone/>
            <wp:docPr id="5" name="图片 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true"/>
                    </pic:cNvPicPr>
                  </pic:nvPicPr>
                  <pic:blipFill>
                    <a:blip r:embed="rId22" r:link="rId23"/>
                    <a:stretch>
                      <a:fillRect/>
                    </a:stretch>
                  </pic:blipFill>
                  <pic:spPr>
                    <a:xfrm>
                      <a:off x="0" y="0"/>
                      <a:ext cx="5252720" cy="4944110"/>
                    </a:xfrm>
                    <a:prstGeom prst="rect">
                      <a:avLst/>
                    </a:prstGeom>
                    <a:noFill/>
                    <a:ln>
                      <a:noFill/>
                    </a:ln>
                  </pic:spPr>
                </pic:pic>
              </a:graphicData>
            </a:graphic>
          </wp:anchor>
        </w:drawing>
      </w: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w:t>
      </w:r>
    </w:p>
    <w:p>
      <w:pPr>
        <w:pStyle w:val="6"/>
        <w:spacing w:line="600" w:lineRule="exact"/>
        <w:ind w:right="640" w:firstLine="645"/>
        <w:jc w:val="center"/>
        <w:outlineLvl w:val="0"/>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rPr>
        <w:t xml:space="preserve">                 年 月 日</w:t>
      </w:r>
    </w:p>
    <w:p>
      <w:pPr>
        <w:rPr>
          <w:rFonts w:eastAsia="方正仿宋简体"/>
          <w:szCs w:val="21"/>
          <w:highlight w:val="none"/>
        </w:rPr>
      </w:pPr>
      <w:r>
        <w:rPr>
          <w:rFonts w:eastAsia="方正仿宋简体"/>
          <w:highlight w:val="none"/>
        </w:rPr>
        <w:t xml:space="preserve"> </w:t>
      </w:r>
    </w:p>
    <w:p>
      <w:pPr>
        <w:pStyle w:val="18"/>
        <w:ind w:firstLine="0" w:firstLineChars="0"/>
        <w:rPr>
          <w:rFonts w:ascii="Times New Roman" w:hAnsi="Times New Roman" w:eastAsia="方正仿宋简体" w:cs="Times New Roman"/>
          <w:highlight w:val="none"/>
        </w:rPr>
      </w:pPr>
      <w:r>
        <w:rPr>
          <w:rFonts w:ascii="Times New Roman" w:hAnsi="Times New Roman" w:eastAsia="方正仿宋简体" w:cs="Times New Roman"/>
          <w:highlight w:val="none"/>
        </w:rPr>
        <w:t xml:space="preserve"> </w:t>
      </w:r>
    </w:p>
    <w:p>
      <w:pPr>
        <w:rPr>
          <w:rFonts w:eastAsia="方正黑体_GBK"/>
          <w:sz w:val="32"/>
          <w:szCs w:val="32"/>
          <w:highlight w:val="none"/>
        </w:rPr>
      </w:pPr>
      <w:r>
        <w:rPr>
          <w:rFonts w:eastAsia="方正仿宋简体"/>
          <w:sz w:val="32"/>
          <w:szCs w:val="32"/>
          <w:highlight w:val="none"/>
        </w:rPr>
        <w:br w:type="page"/>
      </w:r>
      <w:r>
        <w:rPr>
          <w:rFonts w:ascii="方正黑体_GBK" w:eastAsia="方正黑体_GBK"/>
          <w:sz w:val="32"/>
          <w:szCs w:val="32"/>
          <w:highlight w:val="none"/>
        </w:rPr>
        <w:t>附件</w:t>
      </w:r>
      <w:r>
        <w:rPr>
          <w:rFonts w:eastAsia="方正黑体_GBK"/>
          <w:sz w:val="32"/>
          <w:szCs w:val="32"/>
          <w:highlight w:val="none"/>
        </w:rPr>
        <w:t>1</w:t>
      </w:r>
    </w:p>
    <w:p>
      <w:pPr>
        <w:jc w:val="center"/>
        <w:rPr>
          <w:rFonts w:ascii="方正小标宋_GBK" w:eastAsia="方正小标宋_GBK"/>
          <w:sz w:val="44"/>
          <w:szCs w:val="44"/>
          <w:highlight w:val="none"/>
        </w:rPr>
      </w:pPr>
      <w:r>
        <w:rPr>
          <w:rFonts w:hint="eastAsia" w:ascii="方正小标宋_GBK" w:eastAsia="方正小标宋_GBK"/>
          <w:sz w:val="44"/>
          <w:szCs w:val="44"/>
          <w:highlight w:val="none"/>
        </w:rPr>
        <w:t>出让宗地平面界址图</w:t>
      </w:r>
    </w:p>
    <w:p>
      <w:pPr>
        <w:jc w:val="center"/>
        <w:rPr>
          <w:rFonts w:hint="eastAsia" w:eastAsia="方正仿宋简体"/>
          <w:sz w:val="32"/>
          <w:szCs w:val="32"/>
          <w:highlight w:val="none"/>
        </w:rPr>
      </w:pPr>
      <w:r>
        <w:rPr>
          <w:rFonts w:eastAsia="方正仿宋简体"/>
          <w:sz w:val="32"/>
          <w:szCs w:val="32"/>
          <w:highlight w:val="none"/>
        </w:rPr>
        <w:t xml:space="preserve">                                       </w:t>
      </w:r>
    </w:p>
    <w:p>
      <w:pPr>
        <w:jc w:val="center"/>
        <w:rPr>
          <w:rFonts w:eastAsia="方正仿宋简体"/>
          <w:sz w:val="32"/>
          <w:szCs w:val="32"/>
          <w:highlight w:val="none"/>
        </w:rPr>
      </w:pPr>
      <w:r>
        <w:rPr>
          <w:rFonts w:eastAsia="方正仿宋简体"/>
          <w:sz w:val="32"/>
          <w:szCs w:val="32"/>
          <w:highlight w:val="none"/>
        </w:rPr>
        <w:t xml:space="preserve"> </w:t>
      </w:r>
    </w:p>
    <w:p>
      <w:pPr>
        <w:jc w:val="center"/>
        <w:rPr>
          <w:rFonts w:eastAsia="方正仿宋简体"/>
          <w:sz w:val="32"/>
          <w:szCs w:val="32"/>
          <w:highlight w:val="none"/>
        </w:rPr>
      </w:pPr>
      <w:r>
        <w:rPr>
          <w:rFonts w:eastAsia="方正仿宋简体"/>
          <w:sz w:val="32"/>
          <w:szCs w:val="32"/>
          <w:highlight w:val="none"/>
        </w:rPr>
        <w:t xml:space="preserve">                                    </w:t>
      </w:r>
      <w:r>
        <w:rPr>
          <w:rFonts w:ascii="方正仿宋_GBK" w:eastAsia="方正仿宋简体"/>
          <w:sz w:val="32"/>
          <w:szCs w:val="32"/>
          <w:highlight w:val="none"/>
        </w:rPr>
        <w:t>北</w:t>
      </w:r>
      <w:r>
        <w:rPr>
          <w:highlight w:val="none"/>
        </w:rPr>
        <w:fldChar w:fldCharType="begin"/>
      </w:r>
      <w:r>
        <w:instrText xml:space="preserve"> INCLUDEPICTURE "../.deepinwine/Deepin-WeChat/dosdevices/c:/users/pc1/My Documents/WeChat Files/wxid_7t1ae2cmme6j22/FileStorage/File/2023-05/" \* MERGEFORMAT </w:instrText>
      </w:r>
      <w:r>
        <w:rPr>
          <w:highlight w:val="none"/>
        </w:rPr>
        <w:fldChar w:fldCharType="separate"/>
      </w:r>
      <w:r>
        <w:rPr>
          <w:highlight w:val="none"/>
        </w:rPr>
        <w:drawing>
          <wp:inline distT="0" distB="0" distL="114300" distR="114300">
            <wp:extent cx="5257165" cy="76200"/>
            <wp:effectExtent l="0" t="0" r="0" b="0"/>
            <wp:docPr id="7" name="图片 2" descr="wps20"/>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2" descr="wps20"/>
                    <pic:cNvPicPr>
                      <a:picLocks noChangeAspect="true"/>
                    </pic:cNvPicPr>
                  </pic:nvPicPr>
                  <pic:blipFill>
                    <a:blip r:embed="rId24"/>
                    <a:stretch>
                      <a:fillRect/>
                    </a:stretch>
                  </pic:blipFill>
                  <pic:spPr>
                    <a:xfrm>
                      <a:off x="0" y="0"/>
                      <a:ext cx="5257165" cy="76200"/>
                    </a:xfrm>
                    <a:prstGeom prst="rect">
                      <a:avLst/>
                    </a:prstGeom>
                    <a:noFill/>
                    <a:ln>
                      <a:noFill/>
                    </a:ln>
                  </pic:spPr>
                </pic:pic>
              </a:graphicData>
            </a:graphic>
          </wp:inline>
        </w:drawing>
      </w:r>
      <w:r>
        <w:rPr>
          <w:highlight w:val="none"/>
        </w:rPr>
        <w:fldChar w:fldCharType="end"/>
      </w:r>
    </w:p>
    <w:p>
      <w:pPr>
        <w:rPr>
          <w:rFonts w:eastAsia="方正仿宋简体"/>
          <w:sz w:val="32"/>
          <w:szCs w:val="32"/>
          <w:highlight w:val="none"/>
        </w:rPr>
      </w:pPr>
      <w:r>
        <w:rPr>
          <w:rFonts w:eastAsia="方正仿宋简体"/>
          <w:sz w:val="32"/>
          <w:szCs w:val="32"/>
          <w:highlight w:val="none"/>
        </w:rPr>
        <w:t xml:space="preserve"> </w:t>
      </w:r>
    </w:p>
    <w:p>
      <w:pPr>
        <w:jc w:val="center"/>
        <w:rPr>
          <w:rFonts w:eastAsia="方正仿宋简体"/>
          <w:sz w:val="32"/>
          <w:szCs w:val="32"/>
          <w:highlight w:val="none"/>
        </w:rPr>
      </w:pPr>
      <w:r>
        <w:rPr>
          <w:rFonts w:eastAsia="方正仿宋简体"/>
          <w:sz w:val="32"/>
          <w:szCs w:val="32"/>
          <w:highlight w:val="none"/>
        </w:rPr>
        <w:t xml:space="preserve"> </w:t>
      </w:r>
    </w:p>
    <w:p>
      <w:pPr>
        <w:pStyle w:val="18"/>
        <w:ind w:firstLine="210"/>
        <w:rPr>
          <w:highlight w:val="none"/>
        </w:rPr>
      </w:pPr>
      <w:r>
        <w:rPr>
          <w:highlight w:val="none"/>
        </w:rPr>
        <w:t xml:space="preserve"> </w:t>
      </w:r>
    </w:p>
    <w:p>
      <w:pPr>
        <w:jc w:val="center"/>
        <w:rPr>
          <w:rFonts w:eastAsia="方正仿宋简体"/>
          <w:sz w:val="32"/>
          <w:szCs w:val="32"/>
          <w:highlight w:val="none"/>
        </w:rPr>
      </w:pPr>
      <w:r>
        <w:rPr>
          <w:rFonts w:ascii="方正仿宋_GBK" w:eastAsia="方正仿宋简体"/>
          <w:sz w:val="32"/>
          <w:szCs w:val="32"/>
          <w:highlight w:val="none"/>
        </w:rPr>
        <w:t>比例尺：</w:t>
      </w:r>
      <w:r>
        <w:rPr>
          <w:rFonts w:eastAsia="方正仿宋简体"/>
          <w:sz w:val="32"/>
          <w:szCs w:val="32"/>
          <w:highlight w:val="none"/>
        </w:rPr>
        <w:t>1</w:t>
      </w:r>
      <w:r>
        <w:rPr>
          <w:rFonts w:ascii="方正仿宋_GBK" w:eastAsia="方正仿宋简体"/>
          <w:sz w:val="32"/>
          <w:szCs w:val="32"/>
          <w:highlight w:val="none"/>
        </w:rPr>
        <w:t>：</w:t>
      </w:r>
      <w:r>
        <w:rPr>
          <w:rFonts w:eastAsia="方正仿宋简体"/>
          <w:sz w:val="32"/>
          <w:szCs w:val="32"/>
          <w:highlight w:val="none"/>
          <w:u w:val="single"/>
        </w:rPr>
        <w:t xml:space="preserve">               </w:t>
      </w:r>
    </w:p>
    <w:p>
      <w:pPr>
        <w:jc w:val="left"/>
        <w:rPr>
          <w:rFonts w:eastAsia="方正仿宋简体"/>
          <w:sz w:val="32"/>
          <w:szCs w:val="32"/>
          <w:highlight w:val="none"/>
        </w:rPr>
      </w:pPr>
      <w:r>
        <w:rPr>
          <w:rFonts w:eastAsia="方正仿宋简体"/>
          <w:sz w:val="32"/>
          <w:szCs w:val="32"/>
          <w:highlight w:val="none"/>
        </w:rPr>
        <w:t xml:space="preserve"> </w:t>
      </w:r>
    </w:p>
    <w:p>
      <w:pPr>
        <w:jc w:val="left"/>
        <w:rPr>
          <w:rFonts w:eastAsia="方正仿宋简体"/>
          <w:sz w:val="32"/>
          <w:szCs w:val="32"/>
          <w:highlight w:val="none"/>
        </w:rPr>
      </w:pPr>
      <w:r>
        <w:rPr>
          <w:rFonts w:eastAsia="方正仿宋简体"/>
          <w:sz w:val="32"/>
          <w:szCs w:val="32"/>
          <w:highlight w:val="none"/>
        </w:rPr>
        <w:t xml:space="preserve"> </w:t>
      </w:r>
    </w:p>
    <w:p>
      <w:pPr>
        <w:jc w:val="left"/>
        <w:rPr>
          <w:rFonts w:hint="eastAsia"/>
          <w:highlight w:val="none"/>
        </w:rPr>
      </w:pPr>
      <w:r>
        <w:rPr>
          <w:highlight w:val="none"/>
        </w:rPr>
        <w:fldChar w:fldCharType="begin"/>
      </w:r>
      <w:r>
        <w:instrText xml:space="preserve"> INCLUDEPICTURE "../.deepinwine/Deepin-WeChat/dosdevices/c:/users/pc1/My Documents/WeChat Files/wxid_7t1ae2cmme6j22/FileStorage/File/2023-05/" \* MERGEFORMAT </w:instrText>
      </w:r>
      <w:r>
        <w:rPr>
          <w:highlight w:val="none"/>
        </w:rPr>
        <w:fldChar w:fldCharType="separate"/>
      </w:r>
      <w:r>
        <w:rPr>
          <w:highlight w:val="none"/>
        </w:rPr>
        <w:drawing>
          <wp:inline distT="0" distB="0" distL="114300" distR="114300">
            <wp:extent cx="19050" cy="1809750"/>
            <wp:effectExtent l="0" t="0" r="11430" b="3810"/>
            <wp:docPr id="25" name="图片 3" descr="wps24"/>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25" name="图片 3" descr="wps24"/>
                    <pic:cNvPicPr>
                      <a:picLocks noChangeAspect="true"/>
                    </pic:cNvPicPr>
                  </pic:nvPicPr>
                  <pic:blipFill>
                    <a:blip r:embed="rId25"/>
                    <a:stretch>
                      <a:fillRect/>
                    </a:stretch>
                  </pic:blipFill>
                  <pic:spPr>
                    <a:xfrm>
                      <a:off x="0" y="0"/>
                      <a:ext cx="19050" cy="1809750"/>
                    </a:xfrm>
                    <a:prstGeom prst="rect">
                      <a:avLst/>
                    </a:prstGeom>
                    <a:noFill/>
                    <a:ln>
                      <a:noFill/>
                    </a:ln>
                  </pic:spPr>
                </pic:pic>
              </a:graphicData>
            </a:graphic>
          </wp:inline>
        </w:drawing>
      </w:r>
      <w:r>
        <w:rPr>
          <w:highlight w:val="none"/>
        </w:rPr>
        <w:fldChar w:fldCharType="end"/>
      </w: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highlight w:val="none"/>
        </w:rPr>
      </w:pPr>
    </w:p>
    <w:p>
      <w:pPr>
        <w:jc w:val="left"/>
        <w:rPr>
          <w:rFonts w:hint="eastAsia" w:ascii="方正黑体_GBK" w:eastAsia="方正黑体_GBK"/>
          <w:sz w:val="32"/>
          <w:szCs w:val="32"/>
          <w:highlight w:val="none"/>
        </w:rPr>
      </w:pPr>
    </w:p>
    <w:p>
      <w:pPr>
        <w:jc w:val="left"/>
        <w:rPr>
          <w:rFonts w:eastAsia="方正黑体_GBK"/>
          <w:sz w:val="32"/>
          <w:szCs w:val="32"/>
          <w:highlight w:val="none"/>
        </w:rPr>
      </w:pPr>
      <w:r>
        <w:rPr>
          <w:rFonts w:ascii="方正黑体_GBK" w:eastAsia="方正黑体_GBK"/>
          <w:sz w:val="32"/>
          <w:szCs w:val="32"/>
          <w:highlight w:val="none"/>
        </w:rPr>
        <w:t>附件</w:t>
      </w:r>
      <w:r>
        <w:rPr>
          <w:rFonts w:eastAsia="方正黑体_GBK"/>
          <w:sz w:val="32"/>
          <w:szCs w:val="32"/>
          <w:highlight w:val="none"/>
        </w:rPr>
        <w:t>2</w:t>
      </w:r>
    </w:p>
    <w:p>
      <w:pPr>
        <w:jc w:val="center"/>
        <w:rPr>
          <w:rFonts w:eastAsia="方正仿宋简体"/>
          <w:sz w:val="32"/>
          <w:szCs w:val="32"/>
          <w:highlight w:val="none"/>
        </w:rPr>
      </w:pPr>
      <w:r>
        <w:rPr>
          <w:rFonts w:hint="eastAsia" w:ascii="方正小标宋_GBK" w:eastAsia="方正小标宋_GBK"/>
          <w:sz w:val="44"/>
          <w:szCs w:val="44"/>
          <w:highlight w:val="none"/>
        </w:rPr>
        <w:t>出让宗地竖向界限</w:t>
      </w: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r>
        <w:rPr>
          <w:rFonts w:eastAsia="方正仿宋简体"/>
          <w:highlight w:val="none"/>
        </w:rPr>
        <w:drawing>
          <wp:anchor distT="0" distB="0" distL="114300" distR="114300" simplePos="0" relativeHeight="251673600" behindDoc="0" locked="0" layoutInCell="1" allowOverlap="1">
            <wp:simplePos x="0" y="0"/>
            <wp:positionH relativeFrom="column">
              <wp:posOffset>0</wp:posOffset>
            </wp:positionH>
            <wp:positionV relativeFrom="paragraph">
              <wp:posOffset>138430</wp:posOffset>
            </wp:positionV>
            <wp:extent cx="574040" cy="2286000"/>
            <wp:effectExtent l="0" t="0" r="5080" b="0"/>
            <wp:wrapNone/>
            <wp:docPr id="4" name="图片 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图片 5"/>
                    <pic:cNvPicPr>
                      <a:picLocks noChangeAspect="true"/>
                    </pic:cNvPicPr>
                  </pic:nvPicPr>
                  <pic:blipFill>
                    <a:blip r:embed="rId26" r:link="rId27"/>
                    <a:stretch>
                      <a:fillRect/>
                    </a:stretch>
                  </pic:blipFill>
                  <pic:spPr>
                    <a:xfrm>
                      <a:off x="0" y="0"/>
                      <a:ext cx="574040" cy="2286000"/>
                    </a:xfrm>
                    <a:prstGeom prst="rect">
                      <a:avLst/>
                    </a:prstGeom>
                    <a:noFill/>
                    <a:ln>
                      <a:noFill/>
                    </a:ln>
                  </pic:spPr>
                </pic:pic>
              </a:graphicData>
            </a:graphic>
          </wp:anchor>
        </w:drawing>
      </w: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both"/>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pStyle w:val="2"/>
        <w:rPr>
          <w:rFonts w:hint="eastAsia"/>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r>
        <w:rPr>
          <w:rFonts w:eastAsia="方正仿宋简体"/>
          <w:highlight w:val="none"/>
        </w:rPr>
        <w:drawing>
          <wp:anchor distT="0" distB="0" distL="114300" distR="114300" simplePos="0" relativeHeight="251674624" behindDoc="0" locked="0" layoutInCell="1" allowOverlap="1">
            <wp:simplePos x="0" y="0"/>
            <wp:positionH relativeFrom="column">
              <wp:posOffset>3086100</wp:posOffset>
            </wp:positionH>
            <wp:positionV relativeFrom="paragraph">
              <wp:posOffset>37465</wp:posOffset>
            </wp:positionV>
            <wp:extent cx="1828800" cy="499745"/>
            <wp:effectExtent l="0" t="0" r="0" b="3175"/>
            <wp:wrapNone/>
            <wp:docPr id="1" name="图片 6"/>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true"/>
                    </pic:cNvPicPr>
                  </pic:nvPicPr>
                  <pic:blipFill>
                    <a:blip r:embed="rId28" r:link="rId29"/>
                    <a:stretch>
                      <a:fillRect/>
                    </a:stretch>
                  </pic:blipFill>
                  <pic:spPr>
                    <a:xfrm>
                      <a:off x="0" y="0"/>
                      <a:ext cx="1828800" cy="499745"/>
                    </a:xfrm>
                    <a:prstGeom prst="rect">
                      <a:avLst/>
                    </a:prstGeom>
                    <a:noFill/>
                    <a:ln>
                      <a:noFill/>
                    </a:ln>
                  </pic:spPr>
                </pic:pic>
              </a:graphicData>
            </a:graphic>
          </wp:anchor>
        </w:drawing>
      </w: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hint="eastAsia" w:eastAsia="方正仿宋简体"/>
          <w:sz w:val="32"/>
          <w:szCs w:val="32"/>
          <w:highlight w:val="none"/>
        </w:rPr>
      </w:pPr>
    </w:p>
    <w:p>
      <w:pPr>
        <w:jc w:val="center"/>
        <w:rPr>
          <w:rFonts w:eastAsia="方正仿宋简体"/>
          <w:sz w:val="32"/>
          <w:szCs w:val="32"/>
          <w:highlight w:val="none"/>
        </w:rPr>
      </w:pPr>
      <w:r>
        <w:rPr>
          <w:rFonts w:eastAsia="方正仿宋简体"/>
          <w:sz w:val="32"/>
          <w:szCs w:val="32"/>
          <w:highlight w:val="none"/>
        </w:rPr>
        <w:t xml:space="preserve"> </w:t>
      </w:r>
      <w:r>
        <w:rPr>
          <w:highlight w:val="none"/>
        </w:rPr>
        <w:fldChar w:fldCharType="begin"/>
      </w:r>
      <w:r>
        <w:instrText xml:space="preserve"> INCLUDEPICTURE "../.deepinwine/Deepin-WeChat/dosdevices/c:/users/pc1/My Documents/WeChat Files/wxid_7t1ae2cmme6j22/FileStorage/File/2023-05/" \* MERGEFORMAT </w:instrText>
      </w:r>
      <w:r>
        <w:rPr>
          <w:highlight w:val="none"/>
        </w:rPr>
        <w:fldChar w:fldCharType="separate"/>
      </w:r>
      <w:r>
        <w:rPr>
          <w:highlight w:val="none"/>
        </w:rPr>
        <w:drawing>
          <wp:inline distT="0" distB="0" distL="114300" distR="114300">
            <wp:extent cx="5714365" cy="76200"/>
            <wp:effectExtent l="0" t="0" r="635" b="0"/>
            <wp:docPr id="3" name="图片 4" descr="wps25"/>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3" name="图片 4" descr="wps25"/>
                    <pic:cNvPicPr>
                      <a:picLocks noChangeAspect="true"/>
                    </pic:cNvPicPr>
                  </pic:nvPicPr>
                  <pic:blipFill>
                    <a:blip r:embed="rId30"/>
                    <a:stretch>
                      <a:fillRect/>
                    </a:stretch>
                  </pic:blipFill>
                  <pic:spPr>
                    <a:xfrm>
                      <a:off x="0" y="0"/>
                      <a:ext cx="5714365" cy="76200"/>
                    </a:xfrm>
                    <a:prstGeom prst="rect">
                      <a:avLst/>
                    </a:prstGeom>
                    <a:noFill/>
                    <a:ln>
                      <a:noFill/>
                    </a:ln>
                  </pic:spPr>
                </pic:pic>
              </a:graphicData>
            </a:graphic>
          </wp:inline>
        </w:drawing>
      </w:r>
      <w:r>
        <w:rPr>
          <w:highlight w:val="none"/>
        </w:rPr>
        <w:fldChar w:fldCharType="end"/>
      </w:r>
    </w:p>
    <w:p>
      <w:pPr>
        <w:jc w:val="center"/>
        <w:rPr>
          <w:rFonts w:eastAsia="方正仿宋简体"/>
          <w:sz w:val="32"/>
          <w:szCs w:val="32"/>
          <w:highlight w:val="none"/>
          <w:u w:val="single"/>
        </w:rPr>
      </w:pPr>
      <w:r>
        <w:rPr>
          <w:rFonts w:ascii="方正仿宋_GBK" w:eastAsia="方正仿宋简体"/>
          <w:sz w:val="32"/>
          <w:szCs w:val="32"/>
          <w:highlight w:val="none"/>
        </w:rPr>
        <w:t>采用的高程系：</w:t>
      </w:r>
      <w:r>
        <w:rPr>
          <w:rFonts w:eastAsia="方正仿宋简体"/>
          <w:sz w:val="32"/>
          <w:szCs w:val="32"/>
          <w:highlight w:val="none"/>
          <w:u w:val="single"/>
        </w:rPr>
        <w:t xml:space="preserve">              </w:t>
      </w:r>
    </w:p>
    <w:p>
      <w:pPr>
        <w:jc w:val="center"/>
        <w:rPr>
          <w:rFonts w:eastAsia="方正仿宋简体"/>
          <w:sz w:val="32"/>
          <w:szCs w:val="32"/>
          <w:highlight w:val="none"/>
        </w:rPr>
      </w:pPr>
      <w:r>
        <w:rPr>
          <w:rFonts w:ascii="方正仿宋_GBK" w:eastAsia="方正仿宋简体"/>
          <w:sz w:val="32"/>
          <w:szCs w:val="32"/>
          <w:highlight w:val="none"/>
        </w:rPr>
        <w:t>比例尺：</w:t>
      </w:r>
      <w:r>
        <w:rPr>
          <w:rFonts w:eastAsia="方正仿宋简体"/>
          <w:sz w:val="32"/>
          <w:szCs w:val="32"/>
          <w:highlight w:val="none"/>
        </w:rPr>
        <w:t>1</w:t>
      </w:r>
      <w:r>
        <w:rPr>
          <w:rFonts w:ascii="方正仿宋_GBK" w:eastAsia="方正仿宋简体"/>
          <w:sz w:val="32"/>
          <w:szCs w:val="32"/>
          <w:highlight w:val="none"/>
        </w:rPr>
        <w:t xml:space="preserve">： </w:t>
      </w:r>
      <w:r>
        <w:rPr>
          <w:rFonts w:eastAsia="方正仿宋简体"/>
          <w:sz w:val="32"/>
          <w:szCs w:val="32"/>
          <w:highlight w:val="none"/>
          <w:u w:val="single"/>
        </w:rPr>
        <w:t xml:space="preserve">             </w:t>
      </w:r>
      <w:r>
        <w:rPr>
          <w:rFonts w:eastAsia="方正仿宋简体"/>
          <w:sz w:val="32"/>
          <w:szCs w:val="32"/>
          <w:highlight w:val="none"/>
        </w:rPr>
        <w:t xml:space="preserve">    </w:t>
      </w:r>
    </w:p>
    <w:p>
      <w:pPr>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3</w:t>
      </w:r>
    </w:p>
    <w:p>
      <w:pPr>
        <w:pStyle w:val="6"/>
        <w:rPr>
          <w:rFonts w:ascii="Times New Roman" w:hAnsi="Times New Roman" w:eastAsia="方正仿宋简体" w:cs="Times New Roman"/>
          <w:sz w:val="32"/>
          <w:szCs w:val="32"/>
          <w:highlight w:val="none"/>
        </w:rPr>
      </w:pPr>
      <w:r>
        <w:rPr>
          <w:rFonts w:ascii="Times New Roman" w:hAnsi="Times New Roman" w:eastAsia="方正仿宋简体" w:cs="Times New Roman"/>
          <w:sz w:val="32"/>
          <w:szCs w:val="32"/>
          <w:highlight w:val="none"/>
          <w:u w:val="single"/>
        </w:rPr>
        <w:t xml:space="preserve">       </w:t>
      </w:r>
      <w:r>
        <w:rPr>
          <w:rFonts w:ascii="方正仿宋_GBK" w:hAnsi="Times New Roman" w:eastAsia="方正仿宋简体" w:cs="Times New Roman"/>
          <w:sz w:val="32"/>
          <w:szCs w:val="32"/>
          <w:highlight w:val="none"/>
        </w:rPr>
        <w:t>市</w:t>
      </w:r>
      <w:r>
        <w:rPr>
          <w:rFonts w:ascii="Times New Roman" w:hAnsi="Times New Roman" w:eastAsia="方正仿宋简体" w:cs="Times New Roman"/>
          <w:sz w:val="32"/>
          <w:szCs w:val="32"/>
          <w:highlight w:val="none"/>
        </w:rPr>
        <w:t>(</w:t>
      </w:r>
      <w:r>
        <w:rPr>
          <w:rFonts w:ascii="方正仿宋_GBK" w:hAnsi="Times New Roman" w:eastAsia="方正仿宋简体" w:cs="Times New Roman"/>
          <w:sz w:val="32"/>
          <w:szCs w:val="32"/>
          <w:highlight w:val="none"/>
        </w:rPr>
        <w:t>县</w:t>
      </w:r>
      <w:r>
        <w:rPr>
          <w:rFonts w:ascii="Times New Roman" w:hAnsi="Times New Roman" w:eastAsia="方正仿宋简体" w:cs="Times New Roman"/>
          <w:sz w:val="32"/>
          <w:szCs w:val="32"/>
          <w:highlight w:val="none"/>
        </w:rPr>
        <w:t>)</w:t>
      </w:r>
      <w:r>
        <w:rPr>
          <w:rFonts w:ascii="方正仿宋_GBK" w:hAnsi="Times New Roman" w:eastAsia="方正仿宋简体" w:cs="Times New Roman"/>
          <w:sz w:val="32"/>
          <w:szCs w:val="32"/>
          <w:highlight w:val="none"/>
        </w:rPr>
        <w:t>政府规划管理部门确定的出让宗地规划条件</w:t>
      </w:r>
    </w:p>
    <w:p>
      <w:pPr>
        <w:rPr>
          <w:rFonts w:eastAsia="方正仿宋简体"/>
          <w:sz w:val="32"/>
          <w:szCs w:val="32"/>
          <w:highlight w:val="none"/>
        </w:rPr>
      </w:pPr>
      <w:r>
        <w:rPr>
          <w:rFonts w:eastAsia="方正仿宋简体"/>
          <w:sz w:val="32"/>
          <w:szCs w:val="32"/>
          <w:highlight w:val="none"/>
        </w:rPr>
        <w:t xml:space="preserve"> </w:t>
      </w:r>
    </w:p>
    <w:p>
      <w:pPr>
        <w:jc w:val="left"/>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pStyle w:val="2"/>
        <w:rPr>
          <w:rFonts w:eastAsia="方正仿宋简体"/>
          <w:sz w:val="32"/>
          <w:szCs w:val="32"/>
          <w:highlight w:val="none"/>
        </w:rPr>
      </w:pPr>
    </w:p>
    <w:p>
      <w:pPr>
        <w:pStyle w:val="4"/>
        <w:rPr>
          <w:rFonts w:eastAsia="方正仿宋简体"/>
          <w:sz w:val="32"/>
          <w:szCs w:val="32"/>
          <w:highlight w:val="none"/>
        </w:rPr>
      </w:pPr>
    </w:p>
    <w:p>
      <w:pPr>
        <w:pStyle w:val="5"/>
        <w:rPr>
          <w:highlight w:val="none"/>
        </w:rPr>
      </w:pPr>
    </w:p>
    <w:p>
      <w:pPr>
        <w:spacing w:line="600" w:lineRule="exact"/>
        <w:ind w:firstLine="640" w:firstLineChars="200"/>
        <w:rPr>
          <w:rFonts w:eastAsia="方正仿宋简体"/>
          <w:sz w:val="32"/>
          <w:szCs w:val="32"/>
          <w:highlight w:val="none"/>
        </w:rPr>
      </w:pPr>
      <w:r>
        <w:rPr>
          <w:rFonts w:eastAsia="方正仿宋简体"/>
          <w:sz w:val="32"/>
          <w:szCs w:val="32"/>
          <w:highlight w:val="none"/>
        </w:rPr>
        <w:t xml:space="preserve">  </w:t>
      </w:r>
    </w:p>
    <w:p>
      <w:pPr>
        <w:spacing w:line="600" w:lineRule="exact"/>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4</w:t>
      </w:r>
    </w:p>
    <w:p>
      <w:pPr>
        <w:spacing w:line="600" w:lineRule="exact"/>
        <w:jc w:val="center"/>
        <w:rPr>
          <w:rFonts w:hint="eastAsia" w:ascii="方正小标宋_GBK" w:eastAsia="方正小标宋_GBK"/>
          <w:sz w:val="44"/>
          <w:szCs w:val="44"/>
          <w:highlight w:val="none"/>
        </w:rPr>
      </w:pPr>
    </w:p>
    <w:p>
      <w:pPr>
        <w:spacing w:line="600" w:lineRule="exact"/>
        <w:jc w:val="center"/>
        <w:rPr>
          <w:rFonts w:ascii="方正小标宋_GBK" w:eastAsia="方正小标宋_GBK"/>
          <w:sz w:val="44"/>
          <w:szCs w:val="44"/>
          <w:highlight w:val="none"/>
        </w:rPr>
      </w:pPr>
      <w:r>
        <w:rPr>
          <w:rFonts w:hint="eastAsia" w:ascii="方正小标宋_GBK" w:eastAsia="方正小标宋_GBK"/>
          <w:sz w:val="44"/>
          <w:szCs w:val="44"/>
          <w:highlight w:val="none"/>
        </w:rPr>
        <w:t>国有建设用地使用权出让合同（示范文本）</w:t>
      </w:r>
    </w:p>
    <w:p>
      <w:pPr>
        <w:spacing w:line="600" w:lineRule="exact"/>
        <w:jc w:val="center"/>
        <w:rPr>
          <w:rFonts w:hint="eastAsia" w:ascii="方正小标宋_GBK" w:eastAsia="方正小标宋_GBK"/>
          <w:sz w:val="44"/>
          <w:szCs w:val="44"/>
          <w:highlight w:val="none"/>
        </w:rPr>
      </w:pPr>
      <w:r>
        <w:rPr>
          <w:rFonts w:hint="eastAsia" w:ascii="方正小标宋_GBK" w:eastAsia="方正小标宋_GBK"/>
          <w:sz w:val="44"/>
          <w:szCs w:val="44"/>
          <w:highlight w:val="none"/>
        </w:rPr>
        <w:t>部 分 条 款 释 义</w:t>
      </w:r>
    </w:p>
    <w:p>
      <w:pPr>
        <w:spacing w:line="600" w:lineRule="exact"/>
        <w:ind w:firstLine="640" w:firstLineChars="200"/>
        <w:rPr>
          <w:rFonts w:hint="eastAsia" w:eastAsia="方正仿宋简体"/>
          <w:sz w:val="32"/>
          <w:szCs w:val="32"/>
          <w:highlight w:val="none"/>
        </w:rPr>
      </w:pPr>
      <w:r>
        <w:rPr>
          <w:rFonts w:eastAsia="方正仿宋简体"/>
          <w:sz w:val="32"/>
          <w:szCs w:val="32"/>
          <w:highlight w:val="none"/>
        </w:rPr>
        <w:t xml:space="preserve"> </w:t>
      </w:r>
    </w:p>
    <w:p>
      <w:pPr>
        <w:spacing w:line="600" w:lineRule="exact"/>
        <w:ind w:firstLine="640" w:firstLineChars="200"/>
        <w:rPr>
          <w:rFonts w:eastAsia="方正仿宋简体"/>
          <w:sz w:val="32"/>
          <w:szCs w:val="32"/>
          <w:highlight w:val="none"/>
        </w:rPr>
      </w:pPr>
      <w:r>
        <w:rPr>
          <w:rFonts w:eastAsia="方正仿宋简体"/>
          <w:sz w:val="32"/>
          <w:szCs w:val="32"/>
          <w:highlight w:val="none"/>
        </w:rPr>
        <w:t>一、条款原文：第五条，本合同项下出让宗地的用途为</w:t>
      </w:r>
      <w:r>
        <w:rPr>
          <w:rFonts w:eastAsia="方正仿宋简体"/>
          <w:sz w:val="32"/>
          <w:szCs w:val="32"/>
          <w:highlight w:val="none"/>
          <w:u w:val="single"/>
        </w:rPr>
        <w:t xml:space="preserve">          </w:t>
      </w:r>
      <w:r>
        <w:rPr>
          <w:rFonts w:eastAsia="方正仿宋简体"/>
          <w:sz w:val="32"/>
          <w:szCs w:val="32"/>
          <w:highlight w:val="none"/>
        </w:rPr>
        <w:t>。</w:t>
      </w:r>
    </w:p>
    <w:p>
      <w:pPr>
        <w:spacing w:line="560" w:lineRule="exact"/>
        <w:ind w:firstLine="640" w:firstLineChars="200"/>
        <w:rPr>
          <w:rFonts w:hint="eastAsia" w:eastAsia="方正仿宋简体"/>
          <w:sz w:val="32"/>
          <w:szCs w:val="32"/>
          <w:highlight w:val="none"/>
        </w:rPr>
      </w:pPr>
      <w:r>
        <w:rPr>
          <w:rFonts w:eastAsia="方正仿宋简体"/>
          <w:sz w:val="32"/>
          <w:szCs w:val="32"/>
          <w:highlight w:val="none"/>
        </w:rPr>
        <w:t>释义：出让宗地的用途按照《国土空间调查、规划、用途管制用地用海分类指南（试行）》规定的土地二级类填写</w:t>
      </w:r>
    </w:p>
    <w:p>
      <w:pPr>
        <w:spacing w:line="560" w:lineRule="exact"/>
        <w:ind w:firstLine="640" w:firstLineChars="200"/>
        <w:rPr>
          <w:rFonts w:eastAsia="方正仿宋简体"/>
          <w:sz w:val="32"/>
          <w:szCs w:val="32"/>
          <w:highlight w:val="none"/>
        </w:rPr>
      </w:pPr>
      <w:r>
        <w:rPr>
          <w:rFonts w:hint="eastAsia" w:eastAsia="方正仿宋简体"/>
          <w:sz w:val="32"/>
          <w:szCs w:val="32"/>
          <w:highlight w:val="none"/>
        </w:rPr>
        <w:t>二</w:t>
      </w:r>
      <w:r>
        <w:rPr>
          <w:rFonts w:eastAsia="方正仿宋简体"/>
          <w:sz w:val="32"/>
          <w:szCs w:val="32"/>
          <w:highlight w:val="none"/>
        </w:rPr>
        <w:t>、条款原文：第十二条，本合同项下宗地用于工业项目建设，受让人同意本合同项下宗地的项目固定资产总投资不低于经批准或登记备案的金额人民币大写</w:t>
      </w:r>
      <w:r>
        <w:rPr>
          <w:rFonts w:eastAsia="方正仿宋简体"/>
          <w:sz w:val="32"/>
          <w:szCs w:val="32"/>
          <w:highlight w:val="none"/>
          <w:u w:val="single"/>
        </w:rPr>
        <w:t xml:space="preserve">        </w:t>
      </w:r>
      <w:r>
        <w:rPr>
          <w:rFonts w:eastAsia="方正仿宋简体"/>
          <w:sz w:val="32"/>
          <w:szCs w:val="32"/>
          <w:highlight w:val="none"/>
        </w:rPr>
        <w:t>万元（小写</w:t>
      </w:r>
      <w:r>
        <w:rPr>
          <w:rFonts w:eastAsia="方正仿宋简体"/>
          <w:sz w:val="32"/>
          <w:szCs w:val="32"/>
          <w:highlight w:val="none"/>
          <w:u w:val="single"/>
        </w:rPr>
        <w:t xml:space="preserve">     </w:t>
      </w:r>
      <w:r>
        <w:rPr>
          <w:rFonts w:eastAsia="方正仿宋简体"/>
          <w:sz w:val="32"/>
          <w:szCs w:val="32"/>
          <w:highlight w:val="none"/>
        </w:rPr>
        <w:t>万元），投资强度不低于每平方米人民币大写     元（小写</w:t>
      </w:r>
      <w:r>
        <w:rPr>
          <w:rFonts w:eastAsia="方正仿宋简体"/>
          <w:sz w:val="32"/>
          <w:szCs w:val="32"/>
          <w:highlight w:val="none"/>
          <w:u w:val="single"/>
        </w:rPr>
        <w:t xml:space="preserve">      </w:t>
      </w:r>
      <w:r>
        <w:rPr>
          <w:rFonts w:eastAsia="方正仿宋简体"/>
          <w:sz w:val="32"/>
          <w:szCs w:val="32"/>
          <w:highlight w:val="none"/>
        </w:rPr>
        <w:t>元）。本合同项下宗地建设项目的固定资产总投资包括建筑物、构筑物及其附属设施、设备投资和出让价款等。</w:t>
      </w:r>
    </w:p>
    <w:p>
      <w:pPr>
        <w:spacing w:line="560" w:lineRule="exact"/>
        <w:ind w:firstLine="640" w:firstLineChars="200"/>
        <w:rPr>
          <w:rFonts w:eastAsia="方正仿宋简体"/>
          <w:sz w:val="32"/>
          <w:szCs w:val="32"/>
          <w:highlight w:val="none"/>
        </w:rPr>
      </w:pPr>
      <w:r>
        <w:rPr>
          <w:rFonts w:eastAsia="方正仿宋简体"/>
          <w:sz w:val="32"/>
          <w:szCs w:val="32"/>
          <w:highlight w:val="none"/>
        </w:rPr>
        <w:t>释义：固定资产总投资和投资强度的核定，以行业主管部门核定结果为准。</w:t>
      </w:r>
    </w:p>
    <w:p>
      <w:pPr>
        <w:pStyle w:val="6"/>
        <w:spacing w:line="560" w:lineRule="exact"/>
        <w:ind w:firstLine="645"/>
        <w:rPr>
          <w:rFonts w:ascii="Times New Roman" w:hAnsi="Times New Roman" w:eastAsia="方正仿宋简体" w:cs="Times New Roman"/>
          <w:sz w:val="32"/>
          <w:szCs w:val="32"/>
          <w:highlight w:val="none"/>
          <w:u w:val="single"/>
        </w:rPr>
      </w:pPr>
      <w:r>
        <w:rPr>
          <w:rFonts w:hint="eastAsia" w:ascii="Times New Roman" w:hAnsi="Times New Roman" w:eastAsia="方正仿宋简体" w:cs="Times New Roman"/>
          <w:sz w:val="32"/>
          <w:szCs w:val="32"/>
          <w:highlight w:val="none"/>
        </w:rPr>
        <w:t>三</w:t>
      </w:r>
      <w:r>
        <w:rPr>
          <w:rFonts w:ascii="Times New Roman" w:hAnsi="Times New Roman" w:eastAsia="方正仿宋简体" w:cs="Times New Roman"/>
          <w:sz w:val="32"/>
          <w:szCs w:val="32"/>
          <w:highlight w:val="none"/>
        </w:rPr>
        <w:t>、条款原文：第十五条，受让人同意本合同项下宗地建设项目在</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日之前开工，在</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年</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月</w:t>
      </w:r>
      <w:r>
        <w:rPr>
          <w:rFonts w:ascii="Times New Roman" w:hAnsi="Times New Roman" w:eastAsia="方正仿宋简体" w:cs="Times New Roman"/>
          <w:sz w:val="32"/>
          <w:szCs w:val="32"/>
          <w:highlight w:val="none"/>
          <w:u w:val="single"/>
        </w:rPr>
        <w:t xml:space="preserve">  </w:t>
      </w:r>
      <w:r>
        <w:rPr>
          <w:rFonts w:ascii="Times New Roman" w:hAnsi="Times New Roman" w:eastAsia="方正仿宋简体" w:cs="Times New Roman"/>
          <w:sz w:val="32"/>
          <w:szCs w:val="32"/>
          <w:highlight w:val="none"/>
        </w:rPr>
        <w:t>日之前竣工。</w:t>
      </w:r>
    </w:p>
    <w:p>
      <w:pPr>
        <w:spacing w:line="560" w:lineRule="exact"/>
        <w:ind w:firstLine="640" w:firstLineChars="200"/>
        <w:rPr>
          <w:rFonts w:eastAsia="方正仿宋简体"/>
          <w:sz w:val="32"/>
          <w:szCs w:val="32"/>
          <w:highlight w:val="none"/>
        </w:rPr>
      </w:pPr>
      <w:r>
        <w:rPr>
          <w:rFonts w:eastAsia="方正仿宋简体"/>
          <w:sz w:val="32"/>
          <w:szCs w:val="32"/>
          <w:highlight w:val="none"/>
        </w:rPr>
        <w:t>释义：建设项目开工时间以土地使用者依法取得建设部门核发的《建筑工程施工许可证》并进场施工之日为准；竣工时间以宗地全部建成后自然资源和规划主管部门受理土地使用者申请之日为准。如因工程建设及资料不齐等原因退件，以再次申请之日为准。</w:t>
      </w:r>
    </w:p>
    <w:p>
      <w:pPr>
        <w:spacing w:line="560" w:lineRule="exact"/>
        <w:ind w:firstLine="640" w:firstLineChars="200"/>
        <w:rPr>
          <w:rFonts w:eastAsia="方正仿宋简体"/>
          <w:sz w:val="32"/>
          <w:szCs w:val="32"/>
          <w:highlight w:val="none"/>
        </w:rPr>
      </w:pPr>
      <w:r>
        <w:rPr>
          <w:rFonts w:hint="eastAsia" w:eastAsia="方正仿宋简体"/>
          <w:sz w:val="32"/>
          <w:szCs w:val="32"/>
          <w:highlight w:val="none"/>
        </w:rPr>
        <w:t>四</w:t>
      </w:r>
      <w:r>
        <w:rPr>
          <w:rFonts w:eastAsia="方正仿宋简体"/>
          <w:sz w:val="32"/>
          <w:szCs w:val="32"/>
          <w:highlight w:val="none"/>
        </w:rPr>
        <w:t>、条款原文：第三十四条，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spacing w:line="560" w:lineRule="exact"/>
        <w:ind w:firstLine="640" w:firstLineChars="200"/>
        <w:rPr>
          <w:rFonts w:eastAsia="方正仿宋简体"/>
          <w:sz w:val="32"/>
          <w:szCs w:val="32"/>
          <w:highlight w:val="none"/>
        </w:rPr>
      </w:pPr>
      <w:r>
        <w:rPr>
          <w:rFonts w:eastAsia="方正仿宋简体"/>
          <w:sz w:val="32"/>
          <w:szCs w:val="32"/>
          <w:highlight w:val="none"/>
        </w:rPr>
        <w:t>释义：受让人应按照出让合同约定的规划设计条件开发利用土地。若仅有一项指标低于合同约定的最低标准，则以该项指标“实际差额部分占约定最低标准的比例”计算违约金；若有任何两项及以上指标同时低于相应的合同约定的最低标准，则在多个“实际差额部分占约定最低标准的比例”中选取较高的比例计算违约金。</w:t>
      </w:r>
    </w:p>
    <w:p>
      <w:pPr>
        <w:spacing w:line="560" w:lineRule="exact"/>
        <w:ind w:firstLine="640" w:firstLineChars="200"/>
        <w:rPr>
          <w:rFonts w:hint="eastAsia" w:eastAsia="方正仿宋简体"/>
          <w:sz w:val="32"/>
          <w:szCs w:val="32"/>
          <w:highlight w:val="none"/>
        </w:rPr>
      </w:pPr>
      <w:r>
        <w:rPr>
          <w:rFonts w:eastAsia="方正仿宋简体"/>
          <w:sz w:val="32"/>
          <w:szCs w:val="32"/>
          <w:highlight w:val="none"/>
        </w:rPr>
        <w:t>同理，若仅有一项指标高于合同约定的最高标准，则以该项指标“实际差额部分占约定标准的比例”计算违约金；若有任何两项及以上指标同时高于相应的合同约定的最高标准，则在多个“实际差额部分占约定标准的比例”中选取较高的比例计算违约金。</w:t>
      </w:r>
    </w:p>
    <w:p>
      <w:pPr>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5</w:t>
      </w:r>
    </w:p>
    <w:p>
      <w:pPr>
        <w:jc w:val="center"/>
        <w:rPr>
          <w:rFonts w:eastAsia="方正小标宋_GBK"/>
          <w:kern w:val="0"/>
          <w:sz w:val="44"/>
          <w:szCs w:val="44"/>
          <w:highlight w:val="none"/>
        </w:rPr>
      </w:pPr>
      <w:r>
        <w:rPr>
          <w:rFonts w:ascii="方正小标宋_GBK" w:eastAsia="方正小标宋_GBK"/>
          <w:kern w:val="0"/>
          <w:sz w:val="44"/>
          <w:szCs w:val="44"/>
          <w:highlight w:val="none"/>
        </w:rPr>
        <w:t>建设项目用地信息公示牌</w:t>
      </w:r>
    </w:p>
    <w:tbl>
      <w:tblPr>
        <w:tblStyle w:val="13"/>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6"/>
        <w:gridCol w:w="2193"/>
        <w:gridCol w:w="2388"/>
        <w:gridCol w:w="38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single" w:color="auto" w:sz="4" w:space="0"/>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sz w:val="24"/>
                <w:highlight w:val="none"/>
              </w:rPr>
            </w:pPr>
            <w:r>
              <w:rPr>
                <w:rFonts w:ascii="方正仿宋_GBK" w:eastAsia="方正仿宋简体"/>
                <w:sz w:val="24"/>
                <w:highlight w:val="none"/>
              </w:rPr>
              <w:t>建设项目用地基本情况</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土地使用权人</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3823" w:type="dxa"/>
            <w:vMerge w:val="restart"/>
            <w:tcBorders>
              <w:top w:val="single" w:color="auto" w:sz="4" w:space="0"/>
              <w:left w:val="nil"/>
              <w:bottom w:val="single" w:color="auto" w:sz="4" w:space="0"/>
              <w:right w:val="single" w:color="auto" w:sz="4" w:space="0"/>
            </w:tcBorders>
            <w:noWrap w:val="0"/>
            <w:vAlign w:val="center"/>
          </w:tcPr>
          <w:p>
            <w:pPr>
              <w:jc w:val="center"/>
              <w:rPr>
                <w:rFonts w:eastAsia="方正仿宋_GBK"/>
                <w:sz w:val="24"/>
                <w:highlight w:val="none"/>
              </w:rPr>
            </w:pPr>
            <w:r>
              <w:rPr>
                <w:rFonts w:ascii="方正仿宋_GBK" w:eastAsia="方正仿宋简体"/>
                <w:sz w:val="24"/>
                <w:highlight w:val="none"/>
              </w:rPr>
              <w:t>土地坐落图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土地坐落</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土地用途</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用地面积（平方米）</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供地方式</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出让合同编号</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656" w:type="dxa"/>
            <w:vMerge w:val="restart"/>
            <w:tcBorders>
              <w:top w:val="nil"/>
              <w:left w:val="single" w:color="auto" w:sz="4" w:space="0"/>
              <w:bottom w:val="single" w:color="auto" w:sz="4" w:space="0"/>
              <w:right w:val="single" w:color="auto" w:sz="4" w:space="0"/>
            </w:tcBorders>
            <w:noWrap w:val="0"/>
            <w:vAlign w:val="center"/>
          </w:tcPr>
          <w:p>
            <w:pPr>
              <w:spacing w:line="400" w:lineRule="exact"/>
              <w:ind w:left="113" w:right="113"/>
              <w:jc w:val="center"/>
              <w:rPr>
                <w:rFonts w:eastAsia="方正仿宋_GBK"/>
                <w:sz w:val="24"/>
                <w:highlight w:val="none"/>
              </w:rPr>
            </w:pPr>
            <w:r>
              <w:rPr>
                <w:rFonts w:ascii="方正仿宋_GBK" w:eastAsia="方正仿宋简体"/>
                <w:sz w:val="24"/>
                <w:highlight w:val="none"/>
              </w:rPr>
              <w:t>规划条件</w:t>
            </w: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容积率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建筑密度</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绿地率</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eastAsia="方正仿宋_GBK"/>
                <w:sz w:val="24"/>
                <w:highlight w:val="none"/>
              </w:rPr>
            </w:pPr>
          </w:p>
        </w:tc>
        <w:tc>
          <w:tcPr>
            <w:tcW w:w="2193" w:type="dxa"/>
            <w:tcBorders>
              <w:top w:val="single" w:color="auto" w:sz="4" w:space="0"/>
              <w:left w:val="nil"/>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使用期限（年）</w:t>
            </w:r>
          </w:p>
        </w:tc>
        <w:tc>
          <w:tcPr>
            <w:tcW w:w="2388" w:type="dxa"/>
            <w:tcBorders>
              <w:top w:val="single" w:color="auto" w:sz="4" w:space="0"/>
              <w:left w:val="nil"/>
              <w:bottom w:val="nil"/>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约定开工时间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约定竣工时间</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监管机构</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_GBK"/>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2849" w:type="dxa"/>
            <w:gridSpan w:val="2"/>
            <w:tcBorders>
              <w:top w:val="single" w:color="auto" w:sz="4" w:space="0"/>
              <w:left w:val="single" w:color="auto" w:sz="4" w:space="0"/>
              <w:bottom w:val="single" w:color="auto" w:sz="4" w:space="0"/>
              <w:right w:val="single" w:color="auto" w:sz="4" w:space="0"/>
            </w:tcBorders>
            <w:noWrap w:val="0"/>
            <w:vAlign w:val="center"/>
          </w:tcPr>
          <w:p>
            <w:pPr>
              <w:spacing w:line="400" w:lineRule="exact"/>
              <w:jc w:val="center"/>
              <w:rPr>
                <w:rFonts w:eastAsia="方正仿宋_GBK"/>
                <w:sz w:val="24"/>
                <w:highlight w:val="none"/>
              </w:rPr>
            </w:pPr>
            <w:r>
              <w:rPr>
                <w:rFonts w:ascii="方正仿宋_GBK" w:eastAsia="方正仿宋简体"/>
                <w:sz w:val="24"/>
                <w:highlight w:val="none"/>
              </w:rPr>
              <w:t>举报电话</w:t>
            </w:r>
          </w:p>
        </w:tc>
        <w:tc>
          <w:tcPr>
            <w:tcW w:w="2388" w:type="dxa"/>
            <w:tcBorders>
              <w:top w:val="single" w:color="auto" w:sz="4" w:space="0"/>
              <w:left w:val="nil"/>
              <w:bottom w:val="single" w:color="auto" w:sz="4" w:space="0"/>
              <w:right w:val="single" w:color="auto" w:sz="4" w:space="0"/>
            </w:tcBorders>
            <w:noWrap w:val="0"/>
            <w:vAlign w:val="center"/>
          </w:tcPr>
          <w:p>
            <w:pPr>
              <w:spacing w:line="400" w:lineRule="exact"/>
              <w:jc w:val="left"/>
              <w:rPr>
                <w:rFonts w:eastAsia="方正仿宋_GBK"/>
                <w:sz w:val="24"/>
                <w:highlight w:val="none"/>
              </w:rPr>
            </w:pPr>
          </w:p>
        </w:tc>
        <w:tc>
          <w:tcPr>
            <w:tcW w:w="0" w:type="auto"/>
            <w:vMerge w:val="continue"/>
            <w:tcBorders>
              <w:top w:val="single" w:color="auto" w:sz="4" w:space="0"/>
              <w:left w:val="nil"/>
              <w:bottom w:val="single" w:color="auto" w:sz="4" w:space="0"/>
              <w:right w:val="single" w:color="auto" w:sz="4" w:space="0"/>
            </w:tcBorders>
            <w:noWrap w:val="0"/>
            <w:vAlign w:val="center"/>
          </w:tcPr>
          <w:p>
            <w:pPr>
              <w:widowControl/>
              <w:jc w:val="left"/>
              <w:rPr>
                <w:rFonts w:eastAsia="方正仿宋简体"/>
                <w:sz w:val="24"/>
                <w:highlight w:val="none"/>
              </w:rPr>
            </w:pPr>
          </w:p>
        </w:tc>
      </w:tr>
    </w:tbl>
    <w:p>
      <w:pPr>
        <w:spacing w:line="34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公示牌制作安装要求：</w:t>
      </w:r>
    </w:p>
    <w:p>
      <w:pPr>
        <w:spacing w:line="34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1．用地单位须在申请交地前安装完成公示牌。</w:t>
      </w:r>
    </w:p>
    <w:p>
      <w:pPr>
        <w:spacing w:line="34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2．公示牌设置于施工现场的醒目位置，待工程竣工验收合格后由建设单位自行撤除。</w:t>
      </w:r>
    </w:p>
    <w:p>
      <w:pPr>
        <w:spacing w:line="340" w:lineRule="exact"/>
        <w:ind w:firstLine="520" w:firstLineChars="200"/>
        <w:rPr>
          <w:rFonts w:ascii="方正楷体简体" w:eastAsia="方正楷体简体"/>
          <w:kern w:val="0"/>
          <w:sz w:val="26"/>
          <w:szCs w:val="30"/>
          <w:highlight w:val="none"/>
        </w:rPr>
      </w:pPr>
      <w:r>
        <w:rPr>
          <w:rFonts w:ascii="方正楷体简体" w:eastAsia="方正楷体简体"/>
          <w:kern w:val="0"/>
          <w:sz w:val="26"/>
          <w:szCs w:val="30"/>
          <w:highlight w:val="none"/>
        </w:rPr>
        <w:t>3．公示牌由用地单位按照《出让合同》或《划拨决定书》的约定制作，不得擅自修改。公示信息中，监管机构为“</w:t>
      </w:r>
      <w:r>
        <w:rPr>
          <w:rFonts w:hint="eastAsia" w:ascii="方正楷体简体" w:eastAsia="方正楷体简体"/>
          <w:kern w:val="0"/>
          <w:sz w:val="26"/>
          <w:szCs w:val="30"/>
          <w:highlight w:val="none"/>
        </w:rPr>
        <w:t>资阳市自然资源和规划局临空经济区分局</w:t>
      </w:r>
      <w:r>
        <w:rPr>
          <w:rFonts w:ascii="方正楷体简体" w:eastAsia="方正楷体简体"/>
          <w:kern w:val="0"/>
          <w:sz w:val="26"/>
          <w:szCs w:val="30"/>
          <w:highlight w:val="none"/>
        </w:rPr>
        <w:t>”，举报电话为028-26</w:t>
      </w:r>
      <w:r>
        <w:rPr>
          <w:rFonts w:hint="eastAsia" w:ascii="方正楷体简体" w:eastAsia="方正楷体简体"/>
          <w:kern w:val="0"/>
          <w:sz w:val="26"/>
          <w:szCs w:val="30"/>
          <w:highlight w:val="none"/>
        </w:rPr>
        <w:t>080200</w:t>
      </w:r>
      <w:r>
        <w:rPr>
          <w:rFonts w:ascii="方正楷体简体" w:eastAsia="方正楷体简体"/>
          <w:kern w:val="0"/>
          <w:sz w:val="26"/>
          <w:szCs w:val="30"/>
          <w:highlight w:val="none"/>
        </w:rPr>
        <w:t>，土地坐落图按照该地块宗地图等比例放大，并标明四至。</w:t>
      </w:r>
    </w:p>
    <w:p>
      <w:pPr>
        <w:pStyle w:val="6"/>
        <w:spacing w:line="340" w:lineRule="exact"/>
        <w:ind w:firstLine="520" w:firstLineChars="200"/>
        <w:rPr>
          <w:rFonts w:ascii="方正黑体_GBK" w:eastAsia="方正黑体_GBK"/>
          <w:sz w:val="32"/>
          <w:szCs w:val="32"/>
          <w:highlight w:val="none"/>
        </w:rPr>
      </w:pPr>
      <w:r>
        <w:rPr>
          <w:rFonts w:ascii="方正楷体简体" w:hAnsi="Times New Roman" w:eastAsia="方正楷体简体" w:cs="Times New Roman"/>
          <w:sz w:val="26"/>
          <w:szCs w:val="30"/>
          <w:highlight w:val="none"/>
        </w:rPr>
        <w:t>4．公示牌背板尺寸大小为3.0米（长）×2.0米（宽），左右立柱及背板均为不锈钢材质，白底红字，背板下边缘距离地面高1.5米，使用水泥墩固定。</w:t>
      </w:r>
    </w:p>
    <w:p>
      <w:pPr>
        <w:rPr>
          <w:rFonts w:eastAsia="方正黑体_GBK"/>
          <w:sz w:val="32"/>
          <w:szCs w:val="32"/>
          <w:highlight w:val="none"/>
          <w:u w:val="single"/>
        </w:rPr>
      </w:pPr>
      <w:r>
        <w:rPr>
          <w:rFonts w:ascii="方正黑体_GBK" w:eastAsia="方正黑体_GBK"/>
          <w:sz w:val="32"/>
          <w:szCs w:val="32"/>
          <w:highlight w:val="none"/>
        </w:rPr>
        <w:t>附件</w:t>
      </w:r>
      <w:r>
        <w:rPr>
          <w:rFonts w:eastAsia="方正黑体_GBK"/>
          <w:sz w:val="32"/>
          <w:szCs w:val="32"/>
          <w:highlight w:val="none"/>
        </w:rPr>
        <w:t>6</w:t>
      </w:r>
    </w:p>
    <w:p>
      <w:pPr>
        <w:jc w:val="center"/>
        <w:rPr>
          <w:rFonts w:eastAsia="方正小标宋_GBK"/>
          <w:kern w:val="0"/>
          <w:sz w:val="44"/>
          <w:szCs w:val="44"/>
          <w:highlight w:val="none"/>
        </w:rPr>
      </w:pPr>
      <w:r>
        <w:rPr>
          <w:rFonts w:ascii="方正小标宋_GBK" w:eastAsia="方正小标宋_GBK"/>
          <w:kern w:val="0"/>
          <w:sz w:val="44"/>
          <w:szCs w:val="44"/>
          <w:highlight w:val="none"/>
        </w:rPr>
        <w:t>建设项目动工申报书</w:t>
      </w:r>
    </w:p>
    <w:p>
      <w:pPr>
        <w:ind w:firstLine="2240" w:firstLineChars="700"/>
        <w:rPr>
          <w:rFonts w:eastAsia="方正仿宋简体"/>
          <w:sz w:val="32"/>
          <w:szCs w:val="32"/>
          <w:highlight w:val="none"/>
        </w:rPr>
      </w:pPr>
      <w:r>
        <w:rPr>
          <w:rFonts w:eastAsia="方正仿宋简体"/>
          <w:sz w:val="32"/>
          <w:szCs w:val="32"/>
          <w:highlight w:val="none"/>
        </w:rPr>
        <w:t xml:space="preserve"> </w:t>
      </w:r>
    </w:p>
    <w:p>
      <w:pPr>
        <w:spacing w:line="540" w:lineRule="exact"/>
        <w:rPr>
          <w:rFonts w:eastAsia="方正仿宋简体"/>
          <w:sz w:val="32"/>
          <w:szCs w:val="32"/>
          <w:highlight w:val="none"/>
        </w:rPr>
      </w:pPr>
      <w:r>
        <w:rPr>
          <w:rFonts w:eastAsia="方正仿宋简体"/>
          <w:sz w:val="32"/>
          <w:szCs w:val="32"/>
          <w:highlight w:val="none"/>
        </w:rPr>
        <w:t>资阳市自然资源和规划局临空经济区分局：</w:t>
      </w:r>
    </w:p>
    <w:p>
      <w:pPr>
        <w:spacing w:line="540" w:lineRule="exact"/>
        <w:ind w:firstLine="645"/>
        <w:rPr>
          <w:rFonts w:eastAsia="方正仿宋简体"/>
          <w:sz w:val="32"/>
          <w:szCs w:val="32"/>
          <w:highlight w:val="none"/>
        </w:rPr>
      </w:pPr>
      <w:r>
        <w:rPr>
          <w:rFonts w:eastAsia="方正仿宋简体"/>
          <w:sz w:val="32"/>
          <w:szCs w:val="32"/>
          <w:highlight w:val="none"/>
        </w:rPr>
        <w:t>资阳市临空经济区管理委员会与我方签订的国有建设用地</w:t>
      </w:r>
      <w:r>
        <w:rPr>
          <w:rFonts w:ascii="宋体" w:hAnsi="宋体" w:eastAsia="方正仿宋简体"/>
          <w:sz w:val="32"/>
          <w:szCs w:val="32"/>
          <w:highlight w:val="none"/>
        </w:rPr>
        <w:t>使用权□出让合同∕□划拨决定书（□出让合同号∕□划拨决定书编号∕□电子监管号为</w:t>
      </w:r>
      <w:r>
        <w:rPr>
          <w:rFonts w:ascii="宋体" w:hAnsi="宋体" w:eastAsia="方正仿宋简体"/>
          <w:sz w:val="32"/>
          <w:szCs w:val="32"/>
          <w:highlight w:val="none"/>
          <w:u w:val="single"/>
        </w:rPr>
        <w:t xml:space="preserve">                    </w:t>
      </w:r>
      <w:r>
        <w:rPr>
          <w:rFonts w:ascii="宋体" w:hAnsi="宋体" w:eastAsia="方正仿宋简体"/>
          <w:sz w:val="32"/>
          <w:szCs w:val="32"/>
          <w:highlight w:val="none"/>
        </w:rPr>
        <w:t>）</w:t>
      </w:r>
      <w:r>
        <w:rPr>
          <w:rFonts w:eastAsia="方正仿宋简体"/>
          <w:sz w:val="32"/>
          <w:szCs w:val="32"/>
          <w:highlight w:val="none"/>
        </w:rPr>
        <w:t>，宗地位置为</w:t>
      </w:r>
      <w:r>
        <w:rPr>
          <w:rFonts w:eastAsia="方正仿宋简体"/>
          <w:sz w:val="32"/>
          <w:szCs w:val="32"/>
          <w:highlight w:val="none"/>
          <w:u w:val="single"/>
        </w:rPr>
        <w:t xml:space="preserve">                    </w:t>
      </w:r>
      <w:r>
        <w:rPr>
          <w:rFonts w:eastAsia="方正仿宋简体"/>
          <w:sz w:val="32"/>
          <w:szCs w:val="32"/>
          <w:highlight w:val="none"/>
        </w:rPr>
        <w:t>，面积为</w:t>
      </w:r>
      <w:r>
        <w:rPr>
          <w:rFonts w:eastAsia="方正仿宋简体"/>
          <w:sz w:val="32"/>
          <w:szCs w:val="32"/>
          <w:highlight w:val="none"/>
          <w:u w:val="single"/>
        </w:rPr>
        <w:t xml:space="preserve">        </w:t>
      </w:r>
      <w:r>
        <w:rPr>
          <w:rFonts w:eastAsia="方正仿宋简体"/>
          <w:sz w:val="32"/>
          <w:szCs w:val="32"/>
          <w:highlight w:val="none"/>
        </w:rPr>
        <w:t>平方米，约定动工日期为</w:t>
      </w:r>
      <w:r>
        <w:rPr>
          <w:rFonts w:eastAsia="方正仿宋简体"/>
          <w:sz w:val="32"/>
          <w:szCs w:val="32"/>
          <w:highlight w:val="none"/>
          <w:u w:val="single"/>
        </w:rPr>
        <w:t xml:space="preserve">               </w:t>
      </w:r>
      <w:r>
        <w:rPr>
          <w:rFonts w:eastAsia="方正仿宋简体"/>
          <w:sz w:val="32"/>
          <w:szCs w:val="32"/>
          <w:highlight w:val="none"/>
        </w:rPr>
        <w:t>，土地权利证号</w:t>
      </w:r>
      <w:r>
        <w:rPr>
          <w:rFonts w:eastAsia="方正仿宋简体"/>
          <w:sz w:val="32"/>
          <w:szCs w:val="32"/>
          <w:highlight w:val="none"/>
          <w:u w:val="single"/>
        </w:rPr>
        <w:t xml:space="preserve">                     </w:t>
      </w:r>
      <w:r>
        <w:rPr>
          <w:rFonts w:eastAsia="方正仿宋简体"/>
          <w:sz w:val="32"/>
          <w:szCs w:val="32"/>
          <w:highlight w:val="none"/>
        </w:rPr>
        <w:t>。</w:t>
      </w:r>
    </w:p>
    <w:p>
      <w:pPr>
        <w:spacing w:line="540" w:lineRule="exact"/>
        <w:ind w:firstLine="640" w:firstLineChars="200"/>
        <w:rPr>
          <w:rFonts w:eastAsia="方正仿宋简体"/>
          <w:sz w:val="32"/>
          <w:szCs w:val="32"/>
          <w:highlight w:val="none"/>
        </w:rPr>
      </w:pPr>
      <w:r>
        <w:rPr>
          <w:rFonts w:eastAsia="方正仿宋简体"/>
          <w:sz w:val="32"/>
          <w:szCs w:val="32"/>
          <w:highlight w:val="none"/>
        </w:rPr>
        <w:t>我方拟在上述宗地建设</w:t>
      </w:r>
      <w:r>
        <w:rPr>
          <w:rFonts w:eastAsia="方正仿宋简体"/>
          <w:sz w:val="32"/>
          <w:szCs w:val="32"/>
          <w:highlight w:val="none"/>
          <w:u w:val="single"/>
        </w:rPr>
        <w:t xml:space="preserve">                      </w:t>
      </w:r>
      <w:r>
        <w:rPr>
          <w:rFonts w:eastAsia="方正仿宋简体"/>
          <w:sz w:val="32"/>
          <w:szCs w:val="32"/>
          <w:highlight w:val="none"/>
        </w:rPr>
        <w:t>开发项目，目前已取得部分（全部）的建筑施工许可证（编号为</w:t>
      </w:r>
      <w:r>
        <w:rPr>
          <w:rFonts w:eastAsia="方正仿宋简体"/>
          <w:sz w:val="32"/>
          <w:szCs w:val="32"/>
          <w:highlight w:val="none"/>
          <w:u w:val="single"/>
        </w:rPr>
        <w:t>：                    ）</w:t>
      </w:r>
      <w:r>
        <w:rPr>
          <w:rFonts w:eastAsia="方正仿宋简体"/>
          <w:sz w:val="32"/>
          <w:szCs w:val="32"/>
          <w:highlight w:val="none"/>
        </w:rPr>
        <w:t>，并于</w:t>
      </w:r>
      <w:r>
        <w:rPr>
          <w:rFonts w:eastAsia="方正仿宋简体"/>
          <w:sz w:val="32"/>
          <w:szCs w:val="32"/>
          <w:highlight w:val="none"/>
          <w:u w:val="single"/>
        </w:rPr>
        <w:t xml:space="preserve">    </w:t>
      </w:r>
      <w:r>
        <w:rPr>
          <w:rFonts w:eastAsia="方正仿宋简体"/>
          <w:sz w:val="32"/>
          <w:szCs w:val="32"/>
          <w:highlight w:val="none"/>
        </w:rPr>
        <w:t>年</w:t>
      </w:r>
      <w:r>
        <w:rPr>
          <w:rFonts w:eastAsia="方正仿宋简体"/>
          <w:sz w:val="32"/>
          <w:szCs w:val="32"/>
          <w:highlight w:val="none"/>
          <w:u w:val="single"/>
        </w:rPr>
        <w:t xml:space="preserve">  </w:t>
      </w:r>
      <w:r>
        <w:rPr>
          <w:rFonts w:eastAsia="方正仿宋简体"/>
          <w:sz w:val="32"/>
          <w:szCs w:val="32"/>
          <w:highlight w:val="none"/>
        </w:rPr>
        <w:t>月</w:t>
      </w:r>
      <w:r>
        <w:rPr>
          <w:rFonts w:eastAsia="方正仿宋简体"/>
          <w:sz w:val="32"/>
          <w:szCs w:val="32"/>
          <w:highlight w:val="none"/>
          <w:u w:val="single"/>
        </w:rPr>
        <w:t xml:space="preserve">  </w:t>
      </w:r>
      <w:r>
        <w:rPr>
          <w:rFonts w:eastAsia="方正仿宋简体"/>
          <w:sz w:val="32"/>
          <w:szCs w:val="32"/>
          <w:highlight w:val="none"/>
        </w:rPr>
        <w:t>日已达到动工标准。请予检查复核。</w:t>
      </w:r>
    </w:p>
    <w:p>
      <w:pPr>
        <w:spacing w:line="540" w:lineRule="exact"/>
        <w:ind w:firstLine="640" w:firstLineChars="200"/>
        <w:rPr>
          <w:rFonts w:eastAsia="方正仿宋简体"/>
          <w:sz w:val="32"/>
          <w:szCs w:val="32"/>
          <w:highlight w:val="none"/>
        </w:rPr>
      </w:pPr>
      <w:r>
        <w:rPr>
          <w:rFonts w:eastAsia="方正仿宋简体"/>
          <w:sz w:val="32"/>
          <w:szCs w:val="32"/>
          <w:highlight w:val="none"/>
        </w:rPr>
        <w:t>特此申报。</w:t>
      </w:r>
    </w:p>
    <w:p>
      <w:pPr>
        <w:spacing w:line="540" w:lineRule="exact"/>
        <w:ind w:right="640" w:firstLine="640" w:firstLineChars="200"/>
        <w:rPr>
          <w:rFonts w:eastAsia="方正仿宋简体"/>
          <w:sz w:val="32"/>
          <w:szCs w:val="32"/>
          <w:highlight w:val="none"/>
        </w:rPr>
      </w:pPr>
      <w:r>
        <w:rPr>
          <w:rFonts w:eastAsia="方正仿宋简体"/>
          <w:sz w:val="32"/>
          <w:szCs w:val="32"/>
          <w:highlight w:val="none"/>
        </w:rPr>
        <w:t>（联系人：          联系电话:         ）</w:t>
      </w:r>
    </w:p>
    <w:p>
      <w:pPr>
        <w:spacing w:line="540" w:lineRule="exact"/>
        <w:ind w:right="640"/>
        <w:jc w:val="right"/>
        <w:rPr>
          <w:rFonts w:eastAsia="方正仿宋简体"/>
          <w:sz w:val="32"/>
          <w:szCs w:val="32"/>
          <w:highlight w:val="none"/>
        </w:rPr>
      </w:pPr>
      <w:r>
        <w:rPr>
          <w:rFonts w:eastAsia="方正仿宋简体"/>
          <w:sz w:val="32"/>
          <w:szCs w:val="32"/>
          <w:highlight w:val="none"/>
        </w:rPr>
        <w:t xml:space="preserve"> </w:t>
      </w:r>
    </w:p>
    <w:p>
      <w:pPr>
        <w:spacing w:line="540" w:lineRule="exact"/>
        <w:ind w:right="1280"/>
        <w:jc w:val="center"/>
        <w:rPr>
          <w:rFonts w:eastAsia="方正仿宋简体"/>
          <w:sz w:val="32"/>
          <w:szCs w:val="32"/>
          <w:highlight w:val="none"/>
        </w:rPr>
      </w:pPr>
      <w:r>
        <w:rPr>
          <w:rFonts w:eastAsia="方正仿宋简体"/>
          <w:sz w:val="32"/>
          <w:szCs w:val="32"/>
          <w:highlight w:val="none"/>
        </w:rPr>
        <w:t xml:space="preserve">                        单位</w:t>
      </w:r>
      <w:r>
        <w:rPr>
          <w:rFonts w:eastAsia="方正仿宋简体"/>
          <w:sz w:val="30"/>
          <w:szCs w:val="30"/>
          <w:highlight w:val="none"/>
        </w:rPr>
        <w:t>（印章）</w:t>
      </w:r>
      <w:r>
        <w:rPr>
          <w:rFonts w:eastAsia="方正仿宋简体"/>
          <w:sz w:val="32"/>
          <w:szCs w:val="32"/>
          <w:highlight w:val="none"/>
        </w:rPr>
        <w:t>/个人：</w:t>
      </w:r>
    </w:p>
    <w:p>
      <w:pPr>
        <w:spacing w:line="540" w:lineRule="exact"/>
        <w:ind w:right="640" w:firstLine="5920" w:firstLineChars="1850"/>
        <w:rPr>
          <w:rFonts w:eastAsia="方正仿宋简体"/>
          <w:sz w:val="32"/>
          <w:szCs w:val="32"/>
          <w:highlight w:val="none"/>
        </w:rPr>
      </w:pPr>
      <w:r>
        <w:rPr>
          <w:rFonts w:eastAsia="方正仿宋简体"/>
          <w:sz w:val="32"/>
          <w:szCs w:val="32"/>
          <w:highlight w:val="none"/>
        </w:rPr>
        <w:t xml:space="preserve"> </w:t>
      </w:r>
    </w:p>
    <w:p>
      <w:pPr>
        <w:spacing w:line="540" w:lineRule="exact"/>
        <w:ind w:right="480" w:firstLine="645"/>
        <w:jc w:val="right"/>
        <w:rPr>
          <w:rFonts w:eastAsia="方正仿宋简体"/>
          <w:sz w:val="32"/>
          <w:szCs w:val="32"/>
          <w:highlight w:val="none"/>
        </w:rPr>
      </w:pPr>
      <w:r>
        <w:rPr>
          <w:rFonts w:eastAsia="方正仿宋简体"/>
          <w:sz w:val="32"/>
          <w:szCs w:val="32"/>
          <w:highlight w:val="none"/>
        </w:rPr>
        <w:t>年  月  日</w:t>
      </w:r>
    </w:p>
    <w:p>
      <w:pPr>
        <w:spacing w:line="560" w:lineRule="exact"/>
        <w:rPr>
          <w:rFonts w:eastAsia="方正仿宋简体"/>
          <w:sz w:val="28"/>
          <w:szCs w:val="28"/>
          <w:highlight w:val="none"/>
        </w:rPr>
      </w:pPr>
      <w:r>
        <w:rPr>
          <w:rFonts w:eastAsia="方正仿宋简体"/>
          <w:sz w:val="28"/>
          <w:szCs w:val="28"/>
          <w:highlight w:val="none"/>
        </w:rPr>
        <w:t xml:space="preserve"> </w:t>
      </w:r>
    </w:p>
    <w:p>
      <w:pPr>
        <w:spacing w:line="560" w:lineRule="exact"/>
        <w:ind w:right="32" w:firstLine="640" w:firstLineChars="200"/>
        <w:rPr>
          <w:rFonts w:eastAsia="方正仿宋简体"/>
          <w:sz w:val="32"/>
          <w:szCs w:val="32"/>
          <w:highlight w:val="none"/>
        </w:rPr>
      </w:pPr>
      <w:r>
        <w:rPr>
          <w:rFonts w:eastAsia="方正仿宋简体"/>
          <w:sz w:val="32"/>
          <w:szCs w:val="32"/>
          <w:highlight w:val="none"/>
        </w:rPr>
        <w:t>注：若无电子监管号，应填写合同号或划拨决定书编号；本申报书由资阳市自然资源和规划局临空经济区分局负责受理。</w:t>
      </w:r>
    </w:p>
    <w:p>
      <w:pPr>
        <w:rPr>
          <w:rFonts w:hint="eastAsia" w:ascii="方正黑体_GBK" w:eastAsia="方正黑体_GBK"/>
          <w:sz w:val="32"/>
          <w:szCs w:val="32"/>
          <w:highlight w:val="none"/>
        </w:rPr>
      </w:pPr>
      <w:r>
        <w:rPr>
          <w:rFonts w:eastAsia="方正仿宋简体"/>
          <w:sz w:val="32"/>
          <w:szCs w:val="32"/>
          <w:highlight w:val="none"/>
        </w:rPr>
        <w:t xml:space="preserve"> </w:t>
      </w:r>
    </w:p>
    <w:p>
      <w:pPr>
        <w:rPr>
          <w:rFonts w:hint="eastAsia" w:ascii="方正黑体_GBK" w:eastAsia="方正黑体_GBK"/>
          <w:sz w:val="44"/>
          <w:szCs w:val="44"/>
          <w:highlight w:val="none"/>
        </w:rPr>
      </w:pPr>
      <w:r>
        <w:rPr>
          <w:rFonts w:hint="eastAsia" w:ascii="方正黑体_GBK" w:eastAsia="方正黑体_GBK"/>
          <w:sz w:val="32"/>
          <w:szCs w:val="32"/>
          <w:highlight w:val="none"/>
        </w:rPr>
        <w:t>附件</w:t>
      </w:r>
      <w:r>
        <w:rPr>
          <w:rFonts w:eastAsia="方正黑体_GBK"/>
          <w:sz w:val="32"/>
          <w:szCs w:val="32"/>
          <w:highlight w:val="none"/>
        </w:rPr>
        <w:t>7</w:t>
      </w:r>
    </w:p>
    <w:p>
      <w:pPr>
        <w:spacing w:line="560" w:lineRule="exact"/>
        <w:jc w:val="center"/>
        <w:rPr>
          <w:rFonts w:hint="eastAsia" w:eastAsia="方正小标宋_GBK"/>
          <w:sz w:val="44"/>
          <w:szCs w:val="44"/>
          <w:highlight w:val="none"/>
        </w:rPr>
      </w:pPr>
      <w:r>
        <w:rPr>
          <w:rFonts w:ascii="方正小标宋_GBK" w:eastAsia="方正小标宋_GBK"/>
          <w:sz w:val="44"/>
          <w:szCs w:val="44"/>
          <w:highlight w:val="none"/>
        </w:rPr>
        <w:t>建设项目竣工申报书</w:t>
      </w:r>
    </w:p>
    <w:p>
      <w:pPr>
        <w:ind w:firstLine="2240" w:firstLineChars="700"/>
        <w:rPr>
          <w:rFonts w:eastAsia="方正仿宋简体"/>
          <w:sz w:val="32"/>
          <w:szCs w:val="32"/>
          <w:highlight w:val="none"/>
        </w:rPr>
      </w:pPr>
      <w:r>
        <w:rPr>
          <w:rFonts w:eastAsia="方正仿宋简体"/>
          <w:sz w:val="32"/>
          <w:szCs w:val="32"/>
          <w:highlight w:val="none"/>
        </w:rPr>
        <w:t xml:space="preserve"> </w:t>
      </w:r>
    </w:p>
    <w:p>
      <w:pPr>
        <w:spacing w:line="560" w:lineRule="exact"/>
        <w:rPr>
          <w:rFonts w:eastAsia="方正仿宋简体"/>
          <w:sz w:val="32"/>
          <w:szCs w:val="32"/>
          <w:highlight w:val="none"/>
        </w:rPr>
      </w:pPr>
      <w:r>
        <w:rPr>
          <w:rFonts w:eastAsia="方正仿宋简体"/>
          <w:sz w:val="32"/>
          <w:szCs w:val="32"/>
          <w:highlight w:val="none"/>
        </w:rPr>
        <w:t>资阳市自然资源和规划局临空经济区分局：</w:t>
      </w:r>
    </w:p>
    <w:p>
      <w:pPr>
        <w:spacing w:line="560" w:lineRule="exact"/>
        <w:ind w:firstLine="640" w:firstLineChars="200"/>
        <w:rPr>
          <w:rFonts w:eastAsia="方正仿宋简体"/>
          <w:sz w:val="32"/>
          <w:szCs w:val="32"/>
          <w:highlight w:val="none"/>
        </w:rPr>
      </w:pPr>
      <w:r>
        <w:rPr>
          <w:rFonts w:eastAsia="方正仿宋简体"/>
          <w:sz w:val="32"/>
          <w:szCs w:val="32"/>
          <w:highlight w:val="none"/>
        </w:rPr>
        <w:t>资阳市临空经济区管理委员会与我方签订的国有建设用地</w:t>
      </w:r>
      <w:r>
        <w:rPr>
          <w:rFonts w:ascii="宋体" w:hAnsi="宋体" w:eastAsia="方正仿宋简体"/>
          <w:sz w:val="32"/>
          <w:szCs w:val="32"/>
          <w:highlight w:val="none"/>
        </w:rPr>
        <w:t>使用权□出让合同∕□划拨决定书（□出让合同号∕□划拨决定书编号∕□电子监管号为</w:t>
      </w:r>
      <w:r>
        <w:rPr>
          <w:rFonts w:ascii="宋体" w:hAnsi="宋体" w:eastAsia="方正仿宋简体"/>
          <w:sz w:val="32"/>
          <w:szCs w:val="32"/>
          <w:highlight w:val="none"/>
          <w:u w:val="single"/>
        </w:rPr>
        <w:t xml:space="preserve">                  </w:t>
      </w:r>
      <w:r>
        <w:rPr>
          <w:rFonts w:ascii="宋体" w:hAnsi="宋体" w:eastAsia="方正仿宋简体"/>
          <w:sz w:val="32"/>
          <w:szCs w:val="32"/>
          <w:highlight w:val="none"/>
        </w:rPr>
        <w:t>），宗地位置</w:t>
      </w:r>
      <w:r>
        <w:rPr>
          <w:rFonts w:eastAsia="方正仿宋简体"/>
          <w:sz w:val="32"/>
          <w:szCs w:val="32"/>
          <w:highlight w:val="none"/>
        </w:rPr>
        <w:t>为</w:t>
      </w:r>
      <w:r>
        <w:rPr>
          <w:rFonts w:eastAsia="方正仿宋简体"/>
          <w:sz w:val="32"/>
          <w:szCs w:val="32"/>
          <w:highlight w:val="none"/>
          <w:u w:val="single"/>
        </w:rPr>
        <w:t xml:space="preserve">                    </w:t>
      </w:r>
      <w:r>
        <w:rPr>
          <w:rFonts w:eastAsia="方正仿宋简体"/>
          <w:sz w:val="32"/>
          <w:szCs w:val="32"/>
          <w:highlight w:val="none"/>
        </w:rPr>
        <w:t>，面积为</w:t>
      </w:r>
      <w:r>
        <w:rPr>
          <w:rFonts w:eastAsia="方正仿宋简体"/>
          <w:sz w:val="32"/>
          <w:szCs w:val="32"/>
          <w:highlight w:val="none"/>
          <w:u w:val="single"/>
        </w:rPr>
        <w:t xml:space="preserve">        </w:t>
      </w:r>
      <w:r>
        <w:rPr>
          <w:rFonts w:eastAsia="方正仿宋简体"/>
          <w:sz w:val="32"/>
          <w:szCs w:val="32"/>
          <w:highlight w:val="none"/>
        </w:rPr>
        <w:t>平方米，约定竣工日期为</w:t>
      </w:r>
      <w:r>
        <w:rPr>
          <w:rFonts w:eastAsia="方正仿宋简体"/>
          <w:sz w:val="32"/>
          <w:szCs w:val="32"/>
          <w:highlight w:val="none"/>
          <w:u w:val="single"/>
        </w:rPr>
        <w:t xml:space="preserve">               </w:t>
      </w:r>
      <w:r>
        <w:rPr>
          <w:rFonts w:eastAsia="方正仿宋简体"/>
          <w:sz w:val="32"/>
          <w:szCs w:val="32"/>
          <w:highlight w:val="none"/>
        </w:rPr>
        <w:t>，土地权利证号</w:t>
      </w:r>
      <w:r>
        <w:rPr>
          <w:rFonts w:eastAsia="方正仿宋简体"/>
          <w:sz w:val="32"/>
          <w:szCs w:val="32"/>
          <w:highlight w:val="none"/>
          <w:u w:val="single"/>
        </w:rPr>
        <w:t xml:space="preserve">                     </w:t>
      </w:r>
      <w:r>
        <w:rPr>
          <w:rFonts w:eastAsia="方正仿宋简体"/>
          <w:sz w:val="32"/>
          <w:szCs w:val="32"/>
          <w:highlight w:val="none"/>
        </w:rPr>
        <w:t>。</w:t>
      </w:r>
    </w:p>
    <w:p>
      <w:pPr>
        <w:spacing w:line="560" w:lineRule="exact"/>
        <w:ind w:firstLine="640" w:firstLineChars="200"/>
        <w:rPr>
          <w:rFonts w:eastAsia="方正仿宋简体"/>
          <w:sz w:val="32"/>
          <w:szCs w:val="32"/>
          <w:highlight w:val="none"/>
        </w:rPr>
      </w:pPr>
      <w:r>
        <w:rPr>
          <w:rFonts w:eastAsia="方正仿宋简体"/>
          <w:sz w:val="32"/>
          <w:szCs w:val="32"/>
          <w:highlight w:val="none"/>
        </w:rPr>
        <w:t>我方在上述宗地建设了</w:t>
      </w:r>
      <w:r>
        <w:rPr>
          <w:rFonts w:eastAsia="方正仿宋简体"/>
          <w:sz w:val="32"/>
          <w:szCs w:val="32"/>
          <w:highlight w:val="none"/>
          <w:u w:val="single"/>
        </w:rPr>
        <w:t xml:space="preserve">                      </w:t>
      </w:r>
      <w:r>
        <w:rPr>
          <w:rFonts w:eastAsia="方正仿宋简体"/>
          <w:sz w:val="32"/>
          <w:szCs w:val="32"/>
          <w:highlight w:val="none"/>
        </w:rPr>
        <w:t>开发项目，拟于</w:t>
      </w:r>
      <w:r>
        <w:rPr>
          <w:rFonts w:eastAsia="方正仿宋简体"/>
          <w:sz w:val="32"/>
          <w:szCs w:val="32"/>
          <w:highlight w:val="none"/>
          <w:u w:val="single"/>
        </w:rPr>
        <w:t xml:space="preserve">      </w:t>
      </w:r>
      <w:r>
        <w:rPr>
          <w:rFonts w:eastAsia="方正仿宋简体"/>
          <w:sz w:val="32"/>
          <w:szCs w:val="32"/>
          <w:highlight w:val="none"/>
        </w:rPr>
        <w:t>年</w:t>
      </w:r>
      <w:r>
        <w:rPr>
          <w:rFonts w:eastAsia="方正仿宋简体"/>
          <w:sz w:val="32"/>
          <w:szCs w:val="32"/>
          <w:highlight w:val="none"/>
          <w:u w:val="single"/>
        </w:rPr>
        <w:t xml:space="preserve">   </w:t>
      </w:r>
      <w:r>
        <w:rPr>
          <w:rFonts w:eastAsia="方正仿宋简体"/>
          <w:sz w:val="32"/>
          <w:szCs w:val="32"/>
          <w:highlight w:val="none"/>
        </w:rPr>
        <w:t>月</w:t>
      </w:r>
      <w:r>
        <w:rPr>
          <w:rFonts w:eastAsia="方正仿宋简体"/>
          <w:sz w:val="32"/>
          <w:szCs w:val="32"/>
          <w:highlight w:val="none"/>
          <w:u w:val="single"/>
        </w:rPr>
        <w:t xml:space="preserve">   </w:t>
      </w:r>
      <w:r>
        <w:rPr>
          <w:rFonts w:eastAsia="方正仿宋简体"/>
          <w:sz w:val="32"/>
          <w:szCs w:val="32"/>
          <w:highlight w:val="none"/>
        </w:rPr>
        <w:t>日竣工，满足出让合同（划拨决定书）规定的规划建设条件。请予检查复核。</w:t>
      </w:r>
    </w:p>
    <w:p>
      <w:pPr>
        <w:spacing w:line="560" w:lineRule="exact"/>
        <w:ind w:firstLine="640" w:firstLineChars="200"/>
        <w:rPr>
          <w:rFonts w:eastAsia="方正仿宋简体"/>
          <w:sz w:val="32"/>
          <w:szCs w:val="32"/>
          <w:highlight w:val="none"/>
        </w:rPr>
      </w:pPr>
      <w:r>
        <w:rPr>
          <w:rFonts w:eastAsia="方正仿宋简体"/>
          <w:sz w:val="32"/>
          <w:szCs w:val="32"/>
          <w:highlight w:val="none"/>
        </w:rPr>
        <w:t>特此申报。</w:t>
      </w:r>
    </w:p>
    <w:p>
      <w:pPr>
        <w:spacing w:line="560" w:lineRule="exact"/>
        <w:ind w:right="640" w:firstLine="640" w:firstLineChars="200"/>
        <w:rPr>
          <w:rFonts w:eastAsia="方正仿宋简体"/>
          <w:sz w:val="32"/>
          <w:szCs w:val="32"/>
          <w:highlight w:val="none"/>
        </w:rPr>
      </w:pPr>
      <w:r>
        <w:rPr>
          <w:rFonts w:eastAsia="方正仿宋简体"/>
          <w:sz w:val="32"/>
          <w:szCs w:val="32"/>
          <w:highlight w:val="none"/>
        </w:rPr>
        <w:t>（联系人：          联系电话:           ）</w:t>
      </w:r>
    </w:p>
    <w:p>
      <w:pPr>
        <w:spacing w:line="560" w:lineRule="exact"/>
        <w:ind w:right="640"/>
        <w:jc w:val="right"/>
        <w:rPr>
          <w:rFonts w:eastAsia="方正仿宋简体"/>
          <w:sz w:val="32"/>
          <w:szCs w:val="32"/>
          <w:highlight w:val="none"/>
        </w:rPr>
      </w:pPr>
      <w:r>
        <w:rPr>
          <w:rFonts w:eastAsia="方正仿宋简体"/>
          <w:sz w:val="32"/>
          <w:szCs w:val="32"/>
          <w:highlight w:val="none"/>
        </w:rPr>
        <w:t xml:space="preserve"> </w:t>
      </w:r>
    </w:p>
    <w:p>
      <w:pPr>
        <w:spacing w:line="560" w:lineRule="exact"/>
        <w:ind w:right="1280"/>
        <w:jc w:val="center"/>
        <w:rPr>
          <w:rFonts w:eastAsia="方正仿宋简体"/>
          <w:sz w:val="32"/>
          <w:szCs w:val="32"/>
          <w:highlight w:val="none"/>
        </w:rPr>
      </w:pPr>
      <w:r>
        <w:rPr>
          <w:rFonts w:eastAsia="方正仿宋简体"/>
          <w:sz w:val="32"/>
          <w:szCs w:val="32"/>
          <w:highlight w:val="none"/>
        </w:rPr>
        <w:t xml:space="preserve">                        单位（印章）/个人：</w:t>
      </w:r>
    </w:p>
    <w:p>
      <w:pPr>
        <w:spacing w:line="560" w:lineRule="exact"/>
        <w:ind w:right="640" w:firstLine="5920" w:firstLineChars="1850"/>
        <w:rPr>
          <w:rFonts w:eastAsia="方正仿宋简体"/>
          <w:sz w:val="32"/>
          <w:szCs w:val="32"/>
          <w:highlight w:val="none"/>
        </w:rPr>
      </w:pPr>
      <w:r>
        <w:rPr>
          <w:rFonts w:eastAsia="方正仿宋简体"/>
          <w:sz w:val="32"/>
          <w:szCs w:val="32"/>
          <w:highlight w:val="none"/>
        </w:rPr>
        <w:t xml:space="preserve"> </w:t>
      </w:r>
    </w:p>
    <w:p>
      <w:pPr>
        <w:spacing w:line="560" w:lineRule="exact"/>
        <w:ind w:right="480" w:firstLine="645"/>
        <w:jc w:val="right"/>
        <w:rPr>
          <w:rFonts w:eastAsia="方正仿宋简体"/>
          <w:sz w:val="32"/>
          <w:szCs w:val="32"/>
          <w:highlight w:val="none"/>
        </w:rPr>
      </w:pPr>
      <w:r>
        <w:rPr>
          <w:rFonts w:eastAsia="方正仿宋简体"/>
          <w:sz w:val="32"/>
          <w:szCs w:val="32"/>
          <w:highlight w:val="none"/>
        </w:rPr>
        <w:t>年  月  日</w:t>
      </w:r>
    </w:p>
    <w:p>
      <w:pPr>
        <w:spacing w:line="560" w:lineRule="exact"/>
        <w:rPr>
          <w:rFonts w:eastAsia="方正仿宋简体"/>
          <w:sz w:val="32"/>
          <w:szCs w:val="32"/>
          <w:highlight w:val="none"/>
        </w:rPr>
      </w:pPr>
      <w:r>
        <w:rPr>
          <w:rFonts w:eastAsia="方正仿宋简体"/>
          <w:sz w:val="32"/>
          <w:szCs w:val="32"/>
          <w:highlight w:val="none"/>
        </w:rPr>
        <w:t xml:space="preserve"> </w:t>
      </w:r>
    </w:p>
    <w:p>
      <w:pPr>
        <w:spacing w:line="540" w:lineRule="exact"/>
        <w:ind w:firstLine="640" w:firstLineChars="200"/>
        <w:rPr>
          <w:rFonts w:eastAsia="方正仿宋简体"/>
          <w:sz w:val="32"/>
          <w:szCs w:val="32"/>
          <w:highlight w:val="none"/>
        </w:rPr>
      </w:pPr>
      <w:r>
        <w:rPr>
          <w:rFonts w:eastAsia="方正仿宋简体"/>
          <w:sz w:val="32"/>
          <w:szCs w:val="32"/>
          <w:highlight w:val="none"/>
        </w:rPr>
        <w:t>注：若无电子监管号，应填写合同号或划拨决定书编号；本申报书由资阳市自然资源和规划局临空经济区分局负责受理。</w:t>
      </w:r>
    </w:p>
    <w:p>
      <w:pPr>
        <w:pStyle w:val="18"/>
        <w:ind w:left="0" w:leftChars="0" w:firstLine="0" w:firstLineChars="0"/>
        <w:rPr>
          <w:rFonts w:hint="eastAsia" w:ascii="Times New Roman" w:hAnsi="Times New Roman" w:eastAsia="方正仿宋_GBK" w:cs="Times New Roman"/>
          <w:bCs/>
          <w:spacing w:val="6"/>
          <w:sz w:val="32"/>
          <w:szCs w:val="32"/>
          <w:highlight w:val="none"/>
        </w:rPr>
      </w:pPr>
      <w:r>
        <w:rPr>
          <w:rFonts w:hint="eastAsia" w:ascii="Times New Roman" w:hAnsi="Times New Roman" w:eastAsia="方正仿宋_GBK" w:cs="Times New Roman"/>
          <w:bCs/>
          <w:spacing w:val="6"/>
          <w:sz w:val="32"/>
          <w:szCs w:val="32"/>
          <w:highlight w:val="none"/>
        </w:rPr>
        <w:t xml:space="preserve">   </w:t>
      </w:r>
    </w:p>
    <w:p>
      <w:pPr>
        <w:pStyle w:val="3"/>
        <w:rPr>
          <w:rFonts w:ascii="Times New Roman" w:hAnsi="Times New Roman" w:eastAsia="方正仿宋_GBK" w:cs="Times New Roman"/>
          <w:sz w:val="32"/>
          <w:szCs w:val="32"/>
          <w:highlight w:val="none"/>
        </w:rPr>
      </w:pPr>
    </w:p>
    <w:sectPr>
      <w:headerReference r:id="rId7" w:type="default"/>
      <w:footerReference r:id="rId8" w:type="default"/>
      <w:pgSz w:w="11906" w:h="16838"/>
      <w:pgMar w:top="2098" w:right="1474" w:bottom="1985" w:left="1588" w:header="851" w:footer="1247" w:gutter="0"/>
      <w:cols w:space="0" w:num="1"/>
      <w:docGrid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方正大标宋_GBK">
    <w:panose1 w:val="03000509000000000000"/>
    <w:charset w:val="86"/>
    <w:family w:val="script"/>
    <w:pitch w:val="default"/>
    <w:sig w:usb0="00000001" w:usb1="080E0000" w:usb2="00000000" w:usb3="00000000" w:csb0="00040000" w:csb1="00000000"/>
  </w:font>
  <w:font w:name="方正小标宋_GBK">
    <w:panose1 w:val="02000000000000000000"/>
    <w:charset w:val="86"/>
    <w:family w:val="script"/>
    <w:pitch w:val="default"/>
    <w:sig w:usb0="00000001" w:usb1="08000000" w:usb2="00000000" w:usb3="00000000" w:csb0="00040000" w:csb1="00000000"/>
  </w:font>
  <w:font w:name="宋体-方正超大字符集">
    <w:altName w:val="宋体"/>
    <w:panose1 w:val="03000509000000000000"/>
    <w:charset w:val="86"/>
    <w:family w:val="script"/>
    <w:pitch w:val="default"/>
    <w:sig w:usb0="00000000" w:usb1="00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新宋体">
    <w:panose1 w:val="02010609030101010101"/>
    <w:charset w:val="86"/>
    <w:family w:val="modern"/>
    <w:pitch w:val="default"/>
    <w:sig w:usb0="00000003" w:usb1="288F0000" w:usb2="00000006" w:usb3="00000000" w:csb0="00040001" w:csb1="00000000"/>
  </w:font>
  <w:font w:name="方正仿宋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方正黑体_GBK">
    <w:panose1 w:val="02000000000000000000"/>
    <w:charset w:val="86"/>
    <w:family w:val="script"/>
    <w:pitch w:val="default"/>
    <w:sig w:usb0="00000001" w:usb1="08000000" w:usb2="00000000" w:usb3="00000000" w:csb0="00040000" w:csb1="00000000"/>
  </w:font>
  <w:font w:name="方正楷体_GBK">
    <w:panose1 w:val="02000000000000000000"/>
    <w:charset w:val="86"/>
    <w:family w:val="script"/>
    <w:pitch w:val="default"/>
    <w:sig w:usb0="00000001" w:usb1="08000000" w:usb2="00000000" w:usb3="00000000" w:csb0="00040000" w:csb1="00000000"/>
  </w:font>
  <w:font w:name="方正小标宋简体">
    <w:panose1 w:val="02000000000000000000"/>
    <w:charset w:val="86"/>
    <w:family w:val="auto"/>
    <w:pitch w:val="default"/>
    <w:sig w:usb0="A00002BF" w:usb1="184F6CFA" w:usb2="00000012" w:usb3="00000000" w:csb0="00040001" w:csb1="00000000"/>
  </w:font>
  <w:font w:name="仿宋">
    <w:panose1 w:val="02010609060101010101"/>
    <w:charset w:val="86"/>
    <w:family w:val="auto"/>
    <w:pitch w:val="default"/>
    <w:sig w:usb0="800002BF" w:usb1="38CF7CFA" w:usb2="00000016" w:usb3="00000000" w:csb0="00040001" w:csb1="00000000"/>
  </w:font>
  <w:font w:name="方正黑体简体">
    <w:panose1 w:val="02010601030101010101"/>
    <w:charset w:val="86"/>
    <w:family w:val="auto"/>
    <w:pitch w:val="default"/>
    <w:sig w:usb0="00000001" w:usb1="080E0000" w:usb2="00000000" w:usb3="00000000" w:csb0="00040000" w:csb1="00000000"/>
  </w:font>
  <w:font w:name="方正楷体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left"/>
      <w:rPr>
        <w:rFonts w:ascii="Times New Roman" w:hAnsi="Times New Roman" w:eastAsia="仿宋_GB2312" w:cs="Times New Roman"/>
        <w:color w:val="000000"/>
        <w:sz w:val="32"/>
      </w:rPr>
    </w:pPr>
    <w:r>
      <w:rPr>
        <w:sz w:val="32"/>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64" name="文本框 1031"/>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true">
                      <a:spAutoFit/>
                    </wps:bodyPr>
                  </wps:wsp>
                </a:graphicData>
              </a:graphic>
            </wp:anchor>
          </w:drawing>
        </mc:Choice>
        <mc:Fallback>
          <w:pict>
            <v:shape id="文本框 1031"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Mldk421AQAAVQMAAA4AAAAAAAAAAQAgAAAANAEAAGRycy9lMm9E&#10;b2MueG1sUEsFBgAAAAAGAAYAWQEAAFsFAAAAAA==&#10;">
              <v:fill on="f" focussize="0,0"/>
              <v:stroke on="f"/>
              <v:imagedata o:title=""/>
              <o:lock v:ext="edit" aspectratio="f"/>
              <v:textbox inset="0mm,0mm,0mm,0mm" style="mso-fit-shape-to-text:t;">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2</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ind w:right="360" w:firstLine="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61" name="文本框 1028"/>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wps:txbx>
                    <wps:bodyPr wrap="none" lIns="0" tIns="0" rIns="0" bIns="0" upright="true">
                      <a:spAutoFit/>
                    </wps:bodyPr>
                  </wps:wsp>
                </a:graphicData>
              </a:graphic>
            </wp:anchor>
          </w:drawing>
        </mc:Choice>
        <mc:Fallback>
          <w:pict>
            <v:shape id="文本框 1028"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FgAAAGRycy9Q&#10;SwECFAAUAAAACACHTuJAzql5uc8AAAAFAQAADwAAAAAAAAABACAAAAA4AAAAZHJzL2Rvd25yZXYu&#10;eG1sUEsBAhQAFAAAAAgAh07iQBgwDDy1AQAAVQMAAA4AAAAAAAAAAQAgAAAANAEAAGRycy9lMm9E&#10;b2MueG1sUEsFBgAAAAAGAAYAWQEAAFsFAAAAAA==&#10;">
              <v:fill on="f" focussize="0,0"/>
              <v:stroke on="f"/>
              <v:imagedata o:title=""/>
              <o:lock v:ext="edit" aspectratio="f"/>
              <v:textbox inset="0mm,0mm,0mm,0mm" style="mso-fit-shape-to-text:t;">
                <w:txbxContent>
                  <w:p>
                    <w:pPr>
                      <w:pStyle w:val="10"/>
                      <w:rPr>
                        <w:rFonts w:asciiTheme="minorEastAsia" w:hAnsiTheme="minorEastAsia" w:cstheme="minorEastAsia"/>
                        <w:sz w:val="28"/>
                        <w:szCs w:val="28"/>
                      </w:rPr>
                    </w:pPr>
                    <w:r>
                      <w:rPr>
                        <w:rFonts w:hint="eastAsia" w:asciiTheme="minorEastAsia" w:hAnsiTheme="minorEastAsia" w:cs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33</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p>
                </w:txbxContent>
              </v:textbox>
            </v:shape>
          </w:pict>
        </mc:Fallback>
      </mc:AlternateContent>
    </w:r>
    <w:r>
      <mc:AlternateContent>
        <mc:Choice Requires="wps">
          <w:drawing>
            <wp:anchor distT="0" distB="0" distL="114300" distR="114300" simplePos="0" relativeHeight="251660288" behindDoc="1" locked="0" layoutInCell="1" allowOverlap="1">
              <wp:simplePos x="0" y="0"/>
              <wp:positionH relativeFrom="margin">
                <wp:posOffset>2280285</wp:posOffset>
              </wp:positionH>
              <wp:positionV relativeFrom="paragraph">
                <wp:posOffset>0</wp:posOffset>
              </wp:positionV>
              <wp:extent cx="490855" cy="1828800"/>
              <wp:effectExtent l="0" t="0" r="0" b="0"/>
              <wp:wrapNone/>
              <wp:docPr id="60" name="文本框 60"/>
              <wp:cNvGraphicFramePr/>
              <a:graphic xmlns:a="http://schemas.openxmlformats.org/drawingml/2006/main">
                <a:graphicData uri="http://schemas.microsoft.com/office/word/2010/wordprocessingShape">
                  <wps:wsp>
                    <wps:cNvSpPr txBox="true"/>
                    <wps:spPr>
                      <a:xfrm>
                        <a:off x="0" y="0"/>
                        <a:ext cx="490855" cy="1828800"/>
                      </a:xfrm>
                      <a:prstGeom prst="rect">
                        <a:avLst/>
                      </a:prstGeom>
                      <a:noFill/>
                      <a:ln w="6350">
                        <a:noFill/>
                      </a:ln>
                      <a:effectLst/>
                    </wps:spPr>
                    <wps:txbx>
                      <w:txbxContent>
                        <w:p>
                          <w:pPr>
                            <w:pStyle w:val="10"/>
                            <w:rPr>
                              <w:rFonts w:eastAsia="宋体"/>
                              <w:sz w:val="32"/>
                              <w:szCs w:val="32"/>
                            </w:rPr>
                          </w:pPr>
                        </w:p>
                      </w:txbxContent>
                    </wps:txbx>
                    <wps:bodyPr lIns="0" tIns="0" rIns="0" bIns="0" upright="true">
                      <a:spAutoFit/>
                    </wps:bodyPr>
                  </wps:wsp>
                </a:graphicData>
              </a:graphic>
            </wp:anchor>
          </w:drawing>
        </mc:Choice>
        <mc:Fallback>
          <w:pict>
            <v:shape id="_x0000_s1026" o:spid="_x0000_s1026" o:spt="202" type="#_x0000_t202" style="position:absolute;left:0pt;margin-left:179.55pt;margin-top:0pt;height:144pt;width:38.65pt;mso-position-horizontal-relative:margin;z-index:-251656192;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FgAAAGRycy9QSwECFAAUAAAACACHTuJAjKvuOtcAAAAIAQAADwAAAAAAAAABACAA&#10;AAA4AAAAZHJzL2Rvd25yZXYueG1sUEsBAhQAFAAAAAgAh07iQJLKj/W/AQAAXQMAAA4AAAAAAAAA&#10;AQAgAAAAPAEAAGRycy9lMm9Eb2MueG1sUEsFBgAAAAAGAAYAWQEAAG0FAAAAAA==&#10;">
              <v:fill on="f" focussize="0,0"/>
              <v:stroke on="f" weight="0.5pt"/>
              <v:imagedata o:title=""/>
              <o:lock v:ext="edit" aspectratio="f"/>
              <v:textbox inset="0mm,0mm,0mm,0mm" style="mso-fit-shape-to-text:t;">
                <w:txbxContent>
                  <w:p>
                    <w:pPr>
                      <w:pStyle w:val="10"/>
                      <w:rPr>
                        <w:rFonts w:eastAsia="宋体"/>
                        <w:sz w:val="32"/>
                        <w:szCs w:val="32"/>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tabs>
        <w:tab w:val="right" w:pos="8306"/>
        <w:tab w:val="clear" w:pos="8307"/>
      </w:tabs>
      <w:ind w:right="360" w:firstLine="360"/>
    </w:pPr>
    <w: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1828800" cy="1828800"/>
              <wp:effectExtent l="0" t="0" r="0" b="0"/>
              <wp:wrapNone/>
              <wp:docPr id="63" name="文本框 1030"/>
              <wp:cNvGraphicFramePr/>
              <a:graphic xmlns:a="http://schemas.openxmlformats.org/drawingml/2006/main">
                <a:graphicData uri="http://schemas.microsoft.com/office/word/2010/wordprocessingShape">
                  <wps:wsp>
                    <wps:cNvSpPr txBox="true"/>
                    <wps:spPr>
                      <a:xfrm>
                        <a:off x="0" y="0"/>
                        <a:ext cx="1828800" cy="1828800"/>
                      </a:xfrm>
                      <a:prstGeom prst="rect">
                        <a:avLst/>
                      </a:prstGeom>
                      <a:noFill/>
                      <a:ln>
                        <a:noFill/>
                      </a:ln>
                    </wps:spPr>
                    <wps:txbx>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wps:txbx>
                    <wps:bodyPr wrap="none" lIns="0" tIns="0" rIns="0" bIns="0" upright="true">
                      <a:spAutoFit/>
                    </wps:bodyPr>
                  </wps:wsp>
                </a:graphicData>
              </a:graphic>
            </wp:anchor>
          </w:drawing>
        </mc:Choice>
        <mc:Fallback>
          <w:pict>
            <v:shape id="文本框 1030" o:spid="_x0000_s1026" o:spt="202" type="#_x0000_t202" style="position:absolute;left:0pt;margin-top:0pt;height:144pt;width:144pt;mso-position-horizontal:outside;mso-position-horizontal-relative:margin;mso-wrap-style:none;z-index:251662336;mso-width-relative:page;mso-height-relative:page;" filled="f" stroked="f" coordsize="21600,21600" o:gfxdata="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WAAAAZHJzL1BL&#10;AQIUABQAAAAIAIdO4kDOqXm5zwAAAAUBAAAPAAAAAAAAAAEAIAAAADgAAABkcnMvZG93bnJldi54&#10;bWxQSwECFAAUAAAACACHTuJAMnivkbQBAABVAwAADgAAAAAAAAABACAAAAA0AQAAZHJzL2Uyb0Rv&#10;Yy54bWxQSwUGAAAAAAYABgBZAQAAWgUAAAAA&#10;">
              <v:fill on="f" focussize="0,0"/>
              <v:stroke on="f"/>
              <v:imagedata o:title=""/>
              <o:lock v:ext="edit" aspectratio="f"/>
              <v:textbox inset="0mm,0mm,0mm,0mm" style="mso-fit-shape-to-text:t;">
                <w:txbxContent>
                  <w:p>
                    <w:pPr>
                      <w:pStyle w:val="10"/>
                      <w:rPr>
                        <w:rFonts w:asciiTheme="minorEastAsia" w:hAnsiTheme="minorEastAsia"/>
                        <w:sz w:val="28"/>
                        <w:szCs w:val="28"/>
                      </w:rPr>
                    </w:pPr>
                    <w:r>
                      <w:rPr>
                        <w:rFonts w:asciiTheme="minorEastAsia" w:hAnsiTheme="minorEastAsia"/>
                        <w:sz w:val="28"/>
                        <w:szCs w:val="28"/>
                      </w:rPr>
                      <w:t xml:space="preserve">— </w:t>
                    </w:r>
                    <w:r>
                      <w:rPr>
                        <w:rFonts w:hint="eastAsia" w:asciiTheme="minorEastAsia" w:hAnsiTheme="minorEastAsia" w:cstheme="minorEastAsia"/>
                        <w:sz w:val="28"/>
                        <w:szCs w:val="28"/>
                      </w:rPr>
                      <w:fldChar w:fldCharType="begin"/>
                    </w:r>
                    <w:r>
                      <w:rPr>
                        <w:rFonts w:hint="eastAsia" w:asciiTheme="minorEastAsia" w:hAnsiTheme="minorEastAsia" w:cstheme="minorEastAsia"/>
                        <w:sz w:val="28"/>
                        <w:szCs w:val="28"/>
                      </w:rPr>
                      <w:instrText xml:space="preserve"> PAGE  \* MERGEFORMAT </w:instrText>
                    </w:r>
                    <w:r>
                      <w:rPr>
                        <w:rFonts w:hint="eastAsia" w:asciiTheme="minorEastAsia" w:hAnsiTheme="minorEastAsia" w:cstheme="minorEastAsia"/>
                        <w:sz w:val="28"/>
                        <w:szCs w:val="28"/>
                      </w:rPr>
                      <w:fldChar w:fldCharType="separate"/>
                    </w:r>
                    <w:r>
                      <w:rPr>
                        <w:rFonts w:asciiTheme="minorEastAsia" w:hAnsiTheme="minorEastAsia" w:cstheme="minorEastAsia"/>
                        <w:sz w:val="28"/>
                        <w:szCs w:val="28"/>
                      </w:rPr>
                      <w:t>59</w:t>
                    </w:r>
                    <w:r>
                      <w:rPr>
                        <w:rFonts w:hint="eastAsia" w:asciiTheme="minorEastAsia" w:hAnsiTheme="minorEastAsia" w:cstheme="minorEastAsia"/>
                        <w:sz w:val="28"/>
                        <w:szCs w:val="28"/>
                      </w:rPr>
                      <w:fldChar w:fldCharType="end"/>
                    </w:r>
                    <w:r>
                      <w:rPr>
                        <w:rFonts w:hint="eastAsia" w:asciiTheme="minorEastAsia" w:hAnsiTheme="minorEastAsia" w:cstheme="minorEastAsia"/>
                        <w:sz w:val="28"/>
                        <w:szCs w:val="28"/>
                      </w:rPr>
                      <w:t xml:space="preserve"> </w:t>
                    </w:r>
                    <w:r>
                      <w:rPr>
                        <w:rFonts w:asciiTheme="minorEastAsia" w:hAnsiTheme="minorEastAsia"/>
                        <w:sz w:val="28"/>
                        <w:szCs w:val="28"/>
                      </w:rPr>
                      <w:t>—</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2280285</wp:posOffset>
              </wp:positionH>
              <wp:positionV relativeFrom="paragraph">
                <wp:posOffset>0</wp:posOffset>
              </wp:positionV>
              <wp:extent cx="490855" cy="1828800"/>
              <wp:effectExtent l="0" t="0" r="0" b="0"/>
              <wp:wrapNone/>
              <wp:docPr id="59" name="文本框 58"/>
              <wp:cNvGraphicFramePr/>
              <a:graphic xmlns:a="http://schemas.openxmlformats.org/drawingml/2006/main">
                <a:graphicData uri="http://schemas.microsoft.com/office/word/2010/wordprocessingShape">
                  <wps:wsp>
                    <wps:cNvSpPr txBox="true"/>
                    <wps:spPr>
                      <a:xfrm>
                        <a:off x="0" y="0"/>
                        <a:ext cx="490855" cy="1828800"/>
                      </a:xfrm>
                      <a:prstGeom prst="rect">
                        <a:avLst/>
                      </a:prstGeom>
                      <a:noFill/>
                      <a:ln w="6350">
                        <a:noFill/>
                      </a:ln>
                      <a:effectLst/>
                    </wps:spPr>
                    <wps:txbx>
                      <w:txbxContent>
                        <w:p>
                          <w:pPr>
                            <w:pStyle w:val="10"/>
                            <w:rPr>
                              <w:sz w:val="32"/>
                              <w:szCs w:val="32"/>
                            </w:rPr>
                          </w:pPr>
                        </w:p>
                      </w:txbxContent>
                    </wps:txbx>
                    <wps:bodyPr rot="0" spcFirstLastPara="0" vertOverflow="overflow" horzOverflow="overflow" vert="horz" wrap="square" lIns="0" tIns="0" rIns="0" bIns="0" numCol="1" spcCol="0" rtlCol="0" fromWordArt="false" anchor="t" anchorCtr="false" forceAA="false" compatLnSpc="true">
                      <a:spAutoFit/>
                    </wps:bodyPr>
                  </wps:wsp>
                </a:graphicData>
              </a:graphic>
            </wp:anchor>
          </w:drawing>
        </mc:Choice>
        <mc:Fallback>
          <w:pict>
            <v:shape id="文本框 58" o:spid="_x0000_s1026" o:spt="202" type="#_x0000_t202" style="position:absolute;left:0pt;margin-left:179.55pt;margin-top:0pt;height:144pt;width:38.65pt;mso-position-horizontal-relative:margin;z-index:251659264;mso-width-relative:page;mso-height-relative:page;" filled="f" stroked="f" coordsize="21600,21600" o:gfxdata="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BYA&#10;AABkcnMvUEsBAhQAFAAAAAgAh07iQIyr7jrXAAAACAEAAA8AAAAAAAAAAQAgAAAAOAAAAGRycy9k&#10;b3ducmV2LnhtbFBLAQIUABQAAAAIAIdO4kDkxkq0JgIAACoEAAAOAAAAAAAAAAEAIAAAADwBAABk&#10;cnMvZTJvRG9jLnhtbFBLBQYAAAAABgAGAFkBAADUBQAAAAA=&#10;">
              <v:fill on="f" focussize="0,0"/>
              <v:stroke on="f" weight="0.5pt"/>
              <v:imagedata o:title=""/>
              <o:lock v:ext="edit" aspectratio="f"/>
              <v:textbox inset="0mm,0mm,0mm,0mm" style="mso-fit-shape-to-text:t;">
                <w:txbxContent>
                  <w:p>
                    <w:pPr>
                      <w:pStyle w:val="10"/>
                      <w:rPr>
                        <w:sz w:val="32"/>
                        <w:szCs w:val="32"/>
                      </w:rPr>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25EEC9B"/>
    <w:multiLevelType w:val="singleLevel"/>
    <w:tmpl w:val="D25EEC9B"/>
    <w:lvl w:ilvl="0" w:tentative="0">
      <w:start w:val="1"/>
      <w:numFmt w:val="chineseCounting"/>
      <w:suff w:val="nothing"/>
      <w:lvlText w:val="%1、"/>
      <w:lvlJc w:val="left"/>
      <w:rPr>
        <w:rFonts w:hint="eastAsia"/>
      </w:rPr>
    </w:lvl>
  </w:abstractNum>
  <w:abstractNum w:abstractNumId="1">
    <w:nsid w:val="71E202A5"/>
    <w:multiLevelType w:val="singleLevel"/>
    <w:tmpl w:val="71E202A5"/>
    <w:lvl w:ilvl="0" w:tentative="0">
      <w:start w:val="3"/>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true"/>
  <w:bordersDoNotSurroundFooter w:val="true"/>
  <w:documentProtection w:enforcement="0"/>
  <w:defaultTabStop w:val="420"/>
  <w:drawingGridHorizontalSpacing w:val="105"/>
  <w:drawingGridVerticalSpacing w:val="159"/>
  <w:displayHorizontalDrawingGridEvery w:val="2"/>
  <w:noPunctuationKerning w:val="true"/>
  <w:characterSpacingControl w:val="compressPunctuation"/>
  <w:hdrShapeDefaults>
    <o:shapelayout v:ext="edit">
      <o:idmap v:ext="edit" data="1,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zNzlhNjMzYTllZDkxZTMzYjMxNTMzNmNiYmYzOTQifQ=="/>
  </w:docVars>
  <w:rsids>
    <w:rsidRoot w:val="00172A27"/>
    <w:rsid w:val="0008069C"/>
    <w:rsid w:val="00091DA6"/>
    <w:rsid w:val="000A2C6D"/>
    <w:rsid w:val="000A50E5"/>
    <w:rsid w:val="000D632E"/>
    <w:rsid w:val="000F013D"/>
    <w:rsid w:val="00100D87"/>
    <w:rsid w:val="00102B2E"/>
    <w:rsid w:val="001120BB"/>
    <w:rsid w:val="00137562"/>
    <w:rsid w:val="00170B00"/>
    <w:rsid w:val="00172A27"/>
    <w:rsid w:val="00175615"/>
    <w:rsid w:val="001A02DE"/>
    <w:rsid w:val="00210DDF"/>
    <w:rsid w:val="00215F57"/>
    <w:rsid w:val="00236BA7"/>
    <w:rsid w:val="002E3E85"/>
    <w:rsid w:val="003070B4"/>
    <w:rsid w:val="0031007C"/>
    <w:rsid w:val="00313AF0"/>
    <w:rsid w:val="00325D2C"/>
    <w:rsid w:val="003625D9"/>
    <w:rsid w:val="00364451"/>
    <w:rsid w:val="0037214B"/>
    <w:rsid w:val="00375C21"/>
    <w:rsid w:val="0038512D"/>
    <w:rsid w:val="003A5E56"/>
    <w:rsid w:val="003B40FF"/>
    <w:rsid w:val="003C0A9F"/>
    <w:rsid w:val="003C5706"/>
    <w:rsid w:val="003E4523"/>
    <w:rsid w:val="003F7CD8"/>
    <w:rsid w:val="004078E4"/>
    <w:rsid w:val="00436356"/>
    <w:rsid w:val="00442D84"/>
    <w:rsid w:val="00444486"/>
    <w:rsid w:val="0049571F"/>
    <w:rsid w:val="004C60A1"/>
    <w:rsid w:val="004F00BE"/>
    <w:rsid w:val="005420C6"/>
    <w:rsid w:val="00552940"/>
    <w:rsid w:val="00586BF4"/>
    <w:rsid w:val="00636F4A"/>
    <w:rsid w:val="006404FA"/>
    <w:rsid w:val="00674A9F"/>
    <w:rsid w:val="006C1409"/>
    <w:rsid w:val="006C2205"/>
    <w:rsid w:val="006E321E"/>
    <w:rsid w:val="007332B5"/>
    <w:rsid w:val="0073503B"/>
    <w:rsid w:val="00754531"/>
    <w:rsid w:val="00792573"/>
    <w:rsid w:val="007B459E"/>
    <w:rsid w:val="007E249E"/>
    <w:rsid w:val="00803FED"/>
    <w:rsid w:val="0081576F"/>
    <w:rsid w:val="00822214"/>
    <w:rsid w:val="00857D4F"/>
    <w:rsid w:val="00863A33"/>
    <w:rsid w:val="008D7ABD"/>
    <w:rsid w:val="008E1BF1"/>
    <w:rsid w:val="0093696D"/>
    <w:rsid w:val="009A0F97"/>
    <w:rsid w:val="009C3562"/>
    <w:rsid w:val="009D22B4"/>
    <w:rsid w:val="00A506FC"/>
    <w:rsid w:val="00A6228F"/>
    <w:rsid w:val="00AA2034"/>
    <w:rsid w:val="00AA66FA"/>
    <w:rsid w:val="00B06677"/>
    <w:rsid w:val="00B20EAD"/>
    <w:rsid w:val="00B34436"/>
    <w:rsid w:val="00B64EFA"/>
    <w:rsid w:val="00B66B36"/>
    <w:rsid w:val="00BB412F"/>
    <w:rsid w:val="00C01AFF"/>
    <w:rsid w:val="00C367A8"/>
    <w:rsid w:val="00CA561E"/>
    <w:rsid w:val="00CD2B1E"/>
    <w:rsid w:val="00CD6D88"/>
    <w:rsid w:val="00CE2F4C"/>
    <w:rsid w:val="00CF4DD9"/>
    <w:rsid w:val="00D15985"/>
    <w:rsid w:val="00D31732"/>
    <w:rsid w:val="00D75E15"/>
    <w:rsid w:val="00D76D93"/>
    <w:rsid w:val="00DA7597"/>
    <w:rsid w:val="00E44B5B"/>
    <w:rsid w:val="00EB08B3"/>
    <w:rsid w:val="00ED0919"/>
    <w:rsid w:val="00EE1483"/>
    <w:rsid w:val="00F54E10"/>
    <w:rsid w:val="00F752D8"/>
    <w:rsid w:val="00F7591E"/>
    <w:rsid w:val="00F83144"/>
    <w:rsid w:val="00FE268E"/>
    <w:rsid w:val="012A4639"/>
    <w:rsid w:val="012D14C2"/>
    <w:rsid w:val="019E0AB5"/>
    <w:rsid w:val="01DC08EB"/>
    <w:rsid w:val="02241806"/>
    <w:rsid w:val="02B53B95"/>
    <w:rsid w:val="0319318F"/>
    <w:rsid w:val="033D15A5"/>
    <w:rsid w:val="03432E3E"/>
    <w:rsid w:val="03B11A6E"/>
    <w:rsid w:val="04323E42"/>
    <w:rsid w:val="04434617"/>
    <w:rsid w:val="045F4B61"/>
    <w:rsid w:val="049B7404"/>
    <w:rsid w:val="04A437E5"/>
    <w:rsid w:val="050704DC"/>
    <w:rsid w:val="05166343"/>
    <w:rsid w:val="05223EAB"/>
    <w:rsid w:val="05C32468"/>
    <w:rsid w:val="06712C2B"/>
    <w:rsid w:val="06744454"/>
    <w:rsid w:val="06890202"/>
    <w:rsid w:val="06C278B5"/>
    <w:rsid w:val="06E10A1C"/>
    <w:rsid w:val="072E68BA"/>
    <w:rsid w:val="073064D9"/>
    <w:rsid w:val="07363845"/>
    <w:rsid w:val="073E4B40"/>
    <w:rsid w:val="07434224"/>
    <w:rsid w:val="082A3964"/>
    <w:rsid w:val="086E5C51"/>
    <w:rsid w:val="08870CF2"/>
    <w:rsid w:val="08903E65"/>
    <w:rsid w:val="08C324E2"/>
    <w:rsid w:val="08CD6195"/>
    <w:rsid w:val="09F316F4"/>
    <w:rsid w:val="0A0916FD"/>
    <w:rsid w:val="0A1B2FAF"/>
    <w:rsid w:val="0A4E1232"/>
    <w:rsid w:val="0A682355"/>
    <w:rsid w:val="0AB03247"/>
    <w:rsid w:val="0B05117D"/>
    <w:rsid w:val="0B2E6C33"/>
    <w:rsid w:val="0B8178DC"/>
    <w:rsid w:val="0BA45F32"/>
    <w:rsid w:val="0BC02F44"/>
    <w:rsid w:val="0C772603"/>
    <w:rsid w:val="0D021C8F"/>
    <w:rsid w:val="0D8F51A6"/>
    <w:rsid w:val="0DC43A7D"/>
    <w:rsid w:val="0DFE8E62"/>
    <w:rsid w:val="0EC840E3"/>
    <w:rsid w:val="0F323244"/>
    <w:rsid w:val="0F3A7007"/>
    <w:rsid w:val="0F6C778D"/>
    <w:rsid w:val="101D5024"/>
    <w:rsid w:val="103C1609"/>
    <w:rsid w:val="10555417"/>
    <w:rsid w:val="10A200C5"/>
    <w:rsid w:val="10FD195B"/>
    <w:rsid w:val="11273244"/>
    <w:rsid w:val="11391A49"/>
    <w:rsid w:val="114C7D47"/>
    <w:rsid w:val="11C80B89"/>
    <w:rsid w:val="11D17021"/>
    <w:rsid w:val="11D4186A"/>
    <w:rsid w:val="1222745A"/>
    <w:rsid w:val="12325183"/>
    <w:rsid w:val="12593850"/>
    <w:rsid w:val="125C26A9"/>
    <w:rsid w:val="12B00389"/>
    <w:rsid w:val="12E11B5F"/>
    <w:rsid w:val="12EA3ACB"/>
    <w:rsid w:val="137D3BC7"/>
    <w:rsid w:val="13AF336C"/>
    <w:rsid w:val="13E60E96"/>
    <w:rsid w:val="13ED32C9"/>
    <w:rsid w:val="1401693C"/>
    <w:rsid w:val="140A64C9"/>
    <w:rsid w:val="14A549B5"/>
    <w:rsid w:val="14CD4145"/>
    <w:rsid w:val="14D0486B"/>
    <w:rsid w:val="152E2BF3"/>
    <w:rsid w:val="15B76D06"/>
    <w:rsid w:val="15DE6D57"/>
    <w:rsid w:val="15E15BEB"/>
    <w:rsid w:val="15E467CF"/>
    <w:rsid w:val="15F0301A"/>
    <w:rsid w:val="15F50CCB"/>
    <w:rsid w:val="164A0B63"/>
    <w:rsid w:val="16B14223"/>
    <w:rsid w:val="16BF07AB"/>
    <w:rsid w:val="170215B2"/>
    <w:rsid w:val="178A7284"/>
    <w:rsid w:val="17FCD12D"/>
    <w:rsid w:val="181A6880"/>
    <w:rsid w:val="18CF184A"/>
    <w:rsid w:val="18E8546C"/>
    <w:rsid w:val="19110C10"/>
    <w:rsid w:val="194B60BD"/>
    <w:rsid w:val="196A7274"/>
    <w:rsid w:val="198A6547"/>
    <w:rsid w:val="1992226D"/>
    <w:rsid w:val="19B412DF"/>
    <w:rsid w:val="19EB3F38"/>
    <w:rsid w:val="19EB59FF"/>
    <w:rsid w:val="1A2D12C7"/>
    <w:rsid w:val="1A484748"/>
    <w:rsid w:val="1A4A6EDE"/>
    <w:rsid w:val="1A6D6957"/>
    <w:rsid w:val="1A89389B"/>
    <w:rsid w:val="1AC84EB6"/>
    <w:rsid w:val="1B1B3FB2"/>
    <w:rsid w:val="1B2171A9"/>
    <w:rsid w:val="1C054334"/>
    <w:rsid w:val="1C0F262D"/>
    <w:rsid w:val="1C143E08"/>
    <w:rsid w:val="1C361F7F"/>
    <w:rsid w:val="1D4C3D0C"/>
    <w:rsid w:val="1D7A555D"/>
    <w:rsid w:val="1D835EDD"/>
    <w:rsid w:val="1E086E2B"/>
    <w:rsid w:val="1E7932DE"/>
    <w:rsid w:val="1EF91BEB"/>
    <w:rsid w:val="1F15500B"/>
    <w:rsid w:val="1F2F77E2"/>
    <w:rsid w:val="20135906"/>
    <w:rsid w:val="20274EE2"/>
    <w:rsid w:val="204573F6"/>
    <w:rsid w:val="205A5788"/>
    <w:rsid w:val="2077128B"/>
    <w:rsid w:val="20894939"/>
    <w:rsid w:val="213A186F"/>
    <w:rsid w:val="214D26F3"/>
    <w:rsid w:val="21715384"/>
    <w:rsid w:val="219E7772"/>
    <w:rsid w:val="222B1F4B"/>
    <w:rsid w:val="22425151"/>
    <w:rsid w:val="228626E9"/>
    <w:rsid w:val="229D2371"/>
    <w:rsid w:val="23395A15"/>
    <w:rsid w:val="24586E6C"/>
    <w:rsid w:val="24A361D8"/>
    <w:rsid w:val="24F0341A"/>
    <w:rsid w:val="2523360C"/>
    <w:rsid w:val="25944145"/>
    <w:rsid w:val="26201221"/>
    <w:rsid w:val="26FF76C5"/>
    <w:rsid w:val="277A2A38"/>
    <w:rsid w:val="277C3C5C"/>
    <w:rsid w:val="27BC005A"/>
    <w:rsid w:val="285A5039"/>
    <w:rsid w:val="29227EFE"/>
    <w:rsid w:val="29D03B8D"/>
    <w:rsid w:val="29E04986"/>
    <w:rsid w:val="2A3A6253"/>
    <w:rsid w:val="2A656D7D"/>
    <w:rsid w:val="2A691DF9"/>
    <w:rsid w:val="2AAA2AA3"/>
    <w:rsid w:val="2B5B134B"/>
    <w:rsid w:val="2BD227BD"/>
    <w:rsid w:val="2BD46A50"/>
    <w:rsid w:val="2BEA15FD"/>
    <w:rsid w:val="2C0F5291"/>
    <w:rsid w:val="2C4A149C"/>
    <w:rsid w:val="2CD41818"/>
    <w:rsid w:val="2D143ECC"/>
    <w:rsid w:val="2D290A27"/>
    <w:rsid w:val="2D6E1748"/>
    <w:rsid w:val="2DA540AE"/>
    <w:rsid w:val="2DBF488D"/>
    <w:rsid w:val="2DEE1CBC"/>
    <w:rsid w:val="2DF646CD"/>
    <w:rsid w:val="2E21468D"/>
    <w:rsid w:val="2E217F29"/>
    <w:rsid w:val="2E3106B5"/>
    <w:rsid w:val="2E910D3D"/>
    <w:rsid w:val="2E963679"/>
    <w:rsid w:val="2EB047D5"/>
    <w:rsid w:val="2F141D40"/>
    <w:rsid w:val="2F570257"/>
    <w:rsid w:val="2F87BD38"/>
    <w:rsid w:val="2FA66841"/>
    <w:rsid w:val="2FB749DD"/>
    <w:rsid w:val="2FE76B46"/>
    <w:rsid w:val="2FF7B9DA"/>
    <w:rsid w:val="304E6A09"/>
    <w:rsid w:val="305B49B1"/>
    <w:rsid w:val="309E6102"/>
    <w:rsid w:val="30AD0FC8"/>
    <w:rsid w:val="30D323F8"/>
    <w:rsid w:val="31126289"/>
    <w:rsid w:val="316F3118"/>
    <w:rsid w:val="318D048C"/>
    <w:rsid w:val="31B363F2"/>
    <w:rsid w:val="31CE5EA7"/>
    <w:rsid w:val="31F053D5"/>
    <w:rsid w:val="32380FC4"/>
    <w:rsid w:val="323834C9"/>
    <w:rsid w:val="32386057"/>
    <w:rsid w:val="331C3D26"/>
    <w:rsid w:val="335A147C"/>
    <w:rsid w:val="339A0F72"/>
    <w:rsid w:val="33A008BD"/>
    <w:rsid w:val="33D549C7"/>
    <w:rsid w:val="33EA5794"/>
    <w:rsid w:val="34470DCB"/>
    <w:rsid w:val="345D7BA2"/>
    <w:rsid w:val="349F4971"/>
    <w:rsid w:val="34A119AC"/>
    <w:rsid w:val="34B63049"/>
    <w:rsid w:val="34BC7DD9"/>
    <w:rsid w:val="353916E8"/>
    <w:rsid w:val="35B73B02"/>
    <w:rsid w:val="35D640FC"/>
    <w:rsid w:val="36292A74"/>
    <w:rsid w:val="3661648B"/>
    <w:rsid w:val="366E3081"/>
    <w:rsid w:val="368317E1"/>
    <w:rsid w:val="369969BB"/>
    <w:rsid w:val="36D76816"/>
    <w:rsid w:val="36E243ED"/>
    <w:rsid w:val="37447F96"/>
    <w:rsid w:val="3759FE1F"/>
    <w:rsid w:val="37691F23"/>
    <w:rsid w:val="37FF8AC8"/>
    <w:rsid w:val="384F44A3"/>
    <w:rsid w:val="388A11DD"/>
    <w:rsid w:val="38BE508B"/>
    <w:rsid w:val="38C27544"/>
    <w:rsid w:val="38D82B02"/>
    <w:rsid w:val="38E17A72"/>
    <w:rsid w:val="39457A64"/>
    <w:rsid w:val="39753CC0"/>
    <w:rsid w:val="399A7818"/>
    <w:rsid w:val="39B92079"/>
    <w:rsid w:val="3A3FA479"/>
    <w:rsid w:val="3ABD64F2"/>
    <w:rsid w:val="3B2D2261"/>
    <w:rsid w:val="3B424300"/>
    <w:rsid w:val="3B671F93"/>
    <w:rsid w:val="3BAF53DD"/>
    <w:rsid w:val="3BC50935"/>
    <w:rsid w:val="3BE7521D"/>
    <w:rsid w:val="3BEFF89A"/>
    <w:rsid w:val="3BF916E9"/>
    <w:rsid w:val="3C075AF9"/>
    <w:rsid w:val="3C6A6EC8"/>
    <w:rsid w:val="3CCF29BA"/>
    <w:rsid w:val="3D373188"/>
    <w:rsid w:val="3D374E99"/>
    <w:rsid w:val="3D5F170C"/>
    <w:rsid w:val="3D7F1BF3"/>
    <w:rsid w:val="3D922B10"/>
    <w:rsid w:val="3DEE46A0"/>
    <w:rsid w:val="3E3B1346"/>
    <w:rsid w:val="3EBD0753"/>
    <w:rsid w:val="3EE11675"/>
    <w:rsid w:val="3F1425EA"/>
    <w:rsid w:val="3F1F2EA5"/>
    <w:rsid w:val="3F26191C"/>
    <w:rsid w:val="3F2C23CF"/>
    <w:rsid w:val="3F6043CA"/>
    <w:rsid w:val="3F764E04"/>
    <w:rsid w:val="3FBD1927"/>
    <w:rsid w:val="3FDBC72D"/>
    <w:rsid w:val="3FF118A2"/>
    <w:rsid w:val="3FFD792E"/>
    <w:rsid w:val="407A0CFF"/>
    <w:rsid w:val="40A10FAF"/>
    <w:rsid w:val="40E21A4F"/>
    <w:rsid w:val="40F60558"/>
    <w:rsid w:val="413F4659"/>
    <w:rsid w:val="41C84A46"/>
    <w:rsid w:val="428D5A70"/>
    <w:rsid w:val="42D631D8"/>
    <w:rsid w:val="42DE7E6D"/>
    <w:rsid w:val="433D2947"/>
    <w:rsid w:val="434F4E0A"/>
    <w:rsid w:val="43A64DBC"/>
    <w:rsid w:val="44E721B4"/>
    <w:rsid w:val="450733AA"/>
    <w:rsid w:val="4537133E"/>
    <w:rsid w:val="454A74A1"/>
    <w:rsid w:val="45692B0E"/>
    <w:rsid w:val="45D96987"/>
    <w:rsid w:val="46377530"/>
    <w:rsid w:val="46FD6F3B"/>
    <w:rsid w:val="476C351D"/>
    <w:rsid w:val="47931D00"/>
    <w:rsid w:val="47C86E18"/>
    <w:rsid w:val="47CDE1B2"/>
    <w:rsid w:val="47E7DA28"/>
    <w:rsid w:val="47EB2680"/>
    <w:rsid w:val="4868346F"/>
    <w:rsid w:val="488B0BC7"/>
    <w:rsid w:val="48B30A29"/>
    <w:rsid w:val="48F01024"/>
    <w:rsid w:val="492C019E"/>
    <w:rsid w:val="497B6B5D"/>
    <w:rsid w:val="497F0D61"/>
    <w:rsid w:val="498855CA"/>
    <w:rsid w:val="4A033ECA"/>
    <w:rsid w:val="4A346C67"/>
    <w:rsid w:val="4B5B8DEC"/>
    <w:rsid w:val="4BB5373E"/>
    <w:rsid w:val="4BE22D0E"/>
    <w:rsid w:val="4C5E7885"/>
    <w:rsid w:val="4C622F2C"/>
    <w:rsid w:val="4C71135D"/>
    <w:rsid w:val="4C9A30DB"/>
    <w:rsid w:val="4CBE2E0F"/>
    <w:rsid w:val="4D237994"/>
    <w:rsid w:val="4D7B1E73"/>
    <w:rsid w:val="4DB92ED8"/>
    <w:rsid w:val="4DBC5CC3"/>
    <w:rsid w:val="4DD574E3"/>
    <w:rsid w:val="4E5D7C66"/>
    <w:rsid w:val="4E8D2AA5"/>
    <w:rsid w:val="4F2F61A2"/>
    <w:rsid w:val="4F906074"/>
    <w:rsid w:val="50195DC1"/>
    <w:rsid w:val="50546973"/>
    <w:rsid w:val="5079029A"/>
    <w:rsid w:val="50CF4029"/>
    <w:rsid w:val="51021CED"/>
    <w:rsid w:val="51492C4E"/>
    <w:rsid w:val="51E47483"/>
    <w:rsid w:val="51F9197C"/>
    <w:rsid w:val="523C1AE0"/>
    <w:rsid w:val="52585BDE"/>
    <w:rsid w:val="5284458A"/>
    <w:rsid w:val="52920279"/>
    <w:rsid w:val="52CA2EA2"/>
    <w:rsid w:val="53A56485"/>
    <w:rsid w:val="53B7175C"/>
    <w:rsid w:val="53D34F43"/>
    <w:rsid w:val="53E51F49"/>
    <w:rsid w:val="542027D0"/>
    <w:rsid w:val="54717550"/>
    <w:rsid w:val="549F18EA"/>
    <w:rsid w:val="54EB48FE"/>
    <w:rsid w:val="55000CA2"/>
    <w:rsid w:val="55043285"/>
    <w:rsid w:val="551801E2"/>
    <w:rsid w:val="556FBAE1"/>
    <w:rsid w:val="5587228D"/>
    <w:rsid w:val="55965B1D"/>
    <w:rsid w:val="55D463FE"/>
    <w:rsid w:val="55D54AF2"/>
    <w:rsid w:val="5606733F"/>
    <w:rsid w:val="56671C4C"/>
    <w:rsid w:val="56B67075"/>
    <w:rsid w:val="572537DC"/>
    <w:rsid w:val="577C50C4"/>
    <w:rsid w:val="57C5392E"/>
    <w:rsid w:val="57D302D3"/>
    <w:rsid w:val="581747CA"/>
    <w:rsid w:val="58932706"/>
    <w:rsid w:val="589D30F9"/>
    <w:rsid w:val="58EE5BC3"/>
    <w:rsid w:val="590D7DD1"/>
    <w:rsid w:val="59522769"/>
    <w:rsid w:val="59B6317A"/>
    <w:rsid w:val="59BC1125"/>
    <w:rsid w:val="5A437433"/>
    <w:rsid w:val="5A501C17"/>
    <w:rsid w:val="5AD7EC0D"/>
    <w:rsid w:val="5B7E774B"/>
    <w:rsid w:val="5B932E41"/>
    <w:rsid w:val="5C980617"/>
    <w:rsid w:val="5CFE119C"/>
    <w:rsid w:val="5D7725CE"/>
    <w:rsid w:val="5D9E45EF"/>
    <w:rsid w:val="5DC60557"/>
    <w:rsid w:val="5E097C13"/>
    <w:rsid w:val="5E0B6CC6"/>
    <w:rsid w:val="5E5B2D2B"/>
    <w:rsid w:val="5E913962"/>
    <w:rsid w:val="5EB04E46"/>
    <w:rsid w:val="5EB919F1"/>
    <w:rsid w:val="5EBD406C"/>
    <w:rsid w:val="5EC80732"/>
    <w:rsid w:val="5F394EFF"/>
    <w:rsid w:val="5F606A60"/>
    <w:rsid w:val="5F7B61FB"/>
    <w:rsid w:val="5F7F111B"/>
    <w:rsid w:val="5F7FDFCE"/>
    <w:rsid w:val="5FCE4ED5"/>
    <w:rsid w:val="5FD00487"/>
    <w:rsid w:val="5FF10494"/>
    <w:rsid w:val="60852E0D"/>
    <w:rsid w:val="60906FC6"/>
    <w:rsid w:val="61107E46"/>
    <w:rsid w:val="61472AA7"/>
    <w:rsid w:val="61804CE2"/>
    <w:rsid w:val="619D5B57"/>
    <w:rsid w:val="6204504D"/>
    <w:rsid w:val="62282E0F"/>
    <w:rsid w:val="622D411D"/>
    <w:rsid w:val="6253015D"/>
    <w:rsid w:val="628C31EE"/>
    <w:rsid w:val="62DA669A"/>
    <w:rsid w:val="632F0D7E"/>
    <w:rsid w:val="63C0592B"/>
    <w:rsid w:val="643F813F"/>
    <w:rsid w:val="648D0117"/>
    <w:rsid w:val="64B86AF8"/>
    <w:rsid w:val="654935A8"/>
    <w:rsid w:val="65552BA6"/>
    <w:rsid w:val="657816E4"/>
    <w:rsid w:val="65D30E7C"/>
    <w:rsid w:val="65EC58E5"/>
    <w:rsid w:val="66520032"/>
    <w:rsid w:val="67557BF5"/>
    <w:rsid w:val="678B4D24"/>
    <w:rsid w:val="67C73559"/>
    <w:rsid w:val="67F33C3C"/>
    <w:rsid w:val="685D0898"/>
    <w:rsid w:val="68AE2ABF"/>
    <w:rsid w:val="68E959FC"/>
    <w:rsid w:val="690E24A6"/>
    <w:rsid w:val="69124F7B"/>
    <w:rsid w:val="698645B9"/>
    <w:rsid w:val="69934FC1"/>
    <w:rsid w:val="6A1E0D92"/>
    <w:rsid w:val="6A3F7592"/>
    <w:rsid w:val="6A7B6D3B"/>
    <w:rsid w:val="6AB55B5F"/>
    <w:rsid w:val="6B537A12"/>
    <w:rsid w:val="6BB76070"/>
    <w:rsid w:val="6BBBF36C"/>
    <w:rsid w:val="6BC93475"/>
    <w:rsid w:val="6C15382E"/>
    <w:rsid w:val="6D365154"/>
    <w:rsid w:val="6D3F6373"/>
    <w:rsid w:val="6D535020"/>
    <w:rsid w:val="6D7127EB"/>
    <w:rsid w:val="6D7853EC"/>
    <w:rsid w:val="6D8E05E5"/>
    <w:rsid w:val="6E011F21"/>
    <w:rsid w:val="6E436C22"/>
    <w:rsid w:val="6EF3A05F"/>
    <w:rsid w:val="6F241321"/>
    <w:rsid w:val="6F4611FD"/>
    <w:rsid w:val="6FB3A9D3"/>
    <w:rsid w:val="6FB7BBEB"/>
    <w:rsid w:val="6FFB705D"/>
    <w:rsid w:val="6FFF2192"/>
    <w:rsid w:val="70022154"/>
    <w:rsid w:val="7088294D"/>
    <w:rsid w:val="70B819E8"/>
    <w:rsid w:val="711452E2"/>
    <w:rsid w:val="716852AB"/>
    <w:rsid w:val="717E6912"/>
    <w:rsid w:val="71B76118"/>
    <w:rsid w:val="726A3044"/>
    <w:rsid w:val="727B4237"/>
    <w:rsid w:val="7305058F"/>
    <w:rsid w:val="730B47E7"/>
    <w:rsid w:val="731170BE"/>
    <w:rsid w:val="7317612E"/>
    <w:rsid w:val="733F402A"/>
    <w:rsid w:val="736B1D51"/>
    <w:rsid w:val="73F416A6"/>
    <w:rsid w:val="74410821"/>
    <w:rsid w:val="746D16BD"/>
    <w:rsid w:val="75070E43"/>
    <w:rsid w:val="75074A60"/>
    <w:rsid w:val="753D72E7"/>
    <w:rsid w:val="75657D30"/>
    <w:rsid w:val="756D1BE3"/>
    <w:rsid w:val="7594232B"/>
    <w:rsid w:val="75E7CE30"/>
    <w:rsid w:val="762B1A89"/>
    <w:rsid w:val="762E57DF"/>
    <w:rsid w:val="764A4BE4"/>
    <w:rsid w:val="76FB05AC"/>
    <w:rsid w:val="771A2DAA"/>
    <w:rsid w:val="774F381F"/>
    <w:rsid w:val="774F6867"/>
    <w:rsid w:val="77A9796A"/>
    <w:rsid w:val="77CED6AF"/>
    <w:rsid w:val="77F91A9B"/>
    <w:rsid w:val="785D5961"/>
    <w:rsid w:val="78D5104B"/>
    <w:rsid w:val="78DF206F"/>
    <w:rsid w:val="79A45941"/>
    <w:rsid w:val="7A5E3A84"/>
    <w:rsid w:val="7ACA3932"/>
    <w:rsid w:val="7B0A6230"/>
    <w:rsid w:val="7B6A1B26"/>
    <w:rsid w:val="7B7D50D0"/>
    <w:rsid w:val="7BB51F6D"/>
    <w:rsid w:val="7BD458BE"/>
    <w:rsid w:val="7BEEC24E"/>
    <w:rsid w:val="7BF303F5"/>
    <w:rsid w:val="7BFBEA65"/>
    <w:rsid w:val="7BFF8D24"/>
    <w:rsid w:val="7C73579F"/>
    <w:rsid w:val="7C8C3D19"/>
    <w:rsid w:val="7CB5C4EA"/>
    <w:rsid w:val="7CBB3E95"/>
    <w:rsid w:val="7CBE72EF"/>
    <w:rsid w:val="7D352B65"/>
    <w:rsid w:val="7D5E03A2"/>
    <w:rsid w:val="7DCCD272"/>
    <w:rsid w:val="7DFF3B1E"/>
    <w:rsid w:val="7EAE5CD2"/>
    <w:rsid w:val="7ED018C5"/>
    <w:rsid w:val="7EE2731A"/>
    <w:rsid w:val="7F46764B"/>
    <w:rsid w:val="7F5F20F6"/>
    <w:rsid w:val="7F7F0A76"/>
    <w:rsid w:val="7F9F8CD6"/>
    <w:rsid w:val="7FB59DD2"/>
    <w:rsid w:val="7FBBFDAC"/>
    <w:rsid w:val="7FD75C8E"/>
    <w:rsid w:val="7FDBA361"/>
    <w:rsid w:val="7FE221AE"/>
    <w:rsid w:val="7FED9448"/>
    <w:rsid w:val="7FF712E0"/>
    <w:rsid w:val="7FF7DA86"/>
    <w:rsid w:val="7FFBEA47"/>
    <w:rsid w:val="7FFE4C5D"/>
    <w:rsid w:val="7FFFE2E3"/>
    <w:rsid w:val="8BFF4DE9"/>
    <w:rsid w:val="93BF315B"/>
    <w:rsid w:val="979F4ACC"/>
    <w:rsid w:val="9EFB999E"/>
    <w:rsid w:val="9EFE8003"/>
    <w:rsid w:val="A5EF4F21"/>
    <w:rsid w:val="ACEF3F76"/>
    <w:rsid w:val="B267DED6"/>
    <w:rsid w:val="B3FFF75A"/>
    <w:rsid w:val="BEBEF507"/>
    <w:rsid w:val="BEFFDCB2"/>
    <w:rsid w:val="BF5D2037"/>
    <w:rsid w:val="BFDE5340"/>
    <w:rsid w:val="BFF7E61F"/>
    <w:rsid w:val="BFFD7C2E"/>
    <w:rsid w:val="BFFDB3C0"/>
    <w:rsid w:val="C5BE660E"/>
    <w:rsid w:val="C9FF4B3C"/>
    <w:rsid w:val="CAFA4DF4"/>
    <w:rsid w:val="CFEBA627"/>
    <w:rsid w:val="D2FF5154"/>
    <w:rsid w:val="D7757F9F"/>
    <w:rsid w:val="D7FF8226"/>
    <w:rsid w:val="DA3B48AD"/>
    <w:rsid w:val="DBFF813C"/>
    <w:rsid w:val="DC4E72F6"/>
    <w:rsid w:val="DD7D1124"/>
    <w:rsid w:val="DEFDB877"/>
    <w:rsid w:val="DF6FE016"/>
    <w:rsid w:val="DF7D4F9F"/>
    <w:rsid w:val="DF9D899F"/>
    <w:rsid w:val="DFDF408B"/>
    <w:rsid w:val="E77DB461"/>
    <w:rsid w:val="E7971915"/>
    <w:rsid w:val="E7F88999"/>
    <w:rsid w:val="E9FDAC0B"/>
    <w:rsid w:val="EACF1DAD"/>
    <w:rsid w:val="EB6B4078"/>
    <w:rsid w:val="EE5BCA1B"/>
    <w:rsid w:val="EF7B11EC"/>
    <w:rsid w:val="EFB84997"/>
    <w:rsid w:val="EFFF0833"/>
    <w:rsid w:val="F3CE05E4"/>
    <w:rsid w:val="F3D65BF3"/>
    <w:rsid w:val="F5A3368D"/>
    <w:rsid w:val="F5F6380E"/>
    <w:rsid w:val="F62E4FF5"/>
    <w:rsid w:val="F6DE4B06"/>
    <w:rsid w:val="F73EB770"/>
    <w:rsid w:val="F7638640"/>
    <w:rsid w:val="F7BFCEA8"/>
    <w:rsid w:val="F7F30231"/>
    <w:rsid w:val="F7F81279"/>
    <w:rsid w:val="F7FFF4D1"/>
    <w:rsid w:val="F8BFFB9E"/>
    <w:rsid w:val="F8F3EC2D"/>
    <w:rsid w:val="FB7B267A"/>
    <w:rsid w:val="FB7F7969"/>
    <w:rsid w:val="FBE377A9"/>
    <w:rsid w:val="FC385183"/>
    <w:rsid w:val="FC9FBF00"/>
    <w:rsid w:val="FCDA3EF5"/>
    <w:rsid w:val="FCDDEEAB"/>
    <w:rsid w:val="FDBEFC3B"/>
    <w:rsid w:val="FDFFABC2"/>
    <w:rsid w:val="FEBBB8A3"/>
    <w:rsid w:val="FECF49C1"/>
    <w:rsid w:val="FEEDEC87"/>
    <w:rsid w:val="FEF1B8CC"/>
    <w:rsid w:val="FEFD9946"/>
    <w:rsid w:val="FF7FFCE8"/>
    <w:rsid w:val="FF9FF603"/>
    <w:rsid w:val="FFB75639"/>
    <w:rsid w:val="FFB7E92D"/>
    <w:rsid w:val="FFBD9EB8"/>
    <w:rsid w:val="FFBF74CE"/>
    <w:rsid w:val="FFD7B7DC"/>
    <w:rsid w:val="FFF146F2"/>
    <w:rsid w:val="FFFF3B37"/>
    <w:rsid w:val="FFFF630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next w:val="4"/>
    <w:unhideWhenUsed/>
    <w:qFormat/>
    <w:uiPriority w:val="99"/>
    <w:pPr>
      <w:ind w:firstLine="420" w:firstLineChars="100"/>
    </w:pPr>
  </w:style>
  <w:style w:type="paragraph" w:styleId="3">
    <w:name w:val="Body Text"/>
    <w:basedOn w:val="1"/>
    <w:next w:val="1"/>
    <w:qFormat/>
    <w:uiPriority w:val="0"/>
    <w:pPr>
      <w:spacing w:after="120"/>
    </w:pPr>
  </w:style>
  <w:style w:type="paragraph" w:styleId="4">
    <w:name w:val="Body Text Indent 2"/>
    <w:basedOn w:val="1"/>
    <w:next w:val="5"/>
    <w:qFormat/>
    <w:uiPriority w:val="0"/>
    <w:pPr>
      <w:spacing w:after="120" w:line="480" w:lineRule="auto"/>
      <w:ind w:left="420" w:leftChars="200"/>
    </w:pPr>
  </w:style>
  <w:style w:type="paragraph" w:customStyle="1" w:styleId="5">
    <w:name w:val="z正文"/>
    <w:basedOn w:val="6"/>
    <w:qFormat/>
    <w:uiPriority w:val="99"/>
    <w:pPr>
      <w:snapToGrid w:val="0"/>
      <w:spacing w:line="360" w:lineRule="auto"/>
    </w:pPr>
    <w:rPr>
      <w:rFonts w:hAnsi="宋体"/>
      <w:sz w:val="24"/>
      <w:szCs w:val="20"/>
    </w:rPr>
  </w:style>
  <w:style w:type="paragraph" w:styleId="6">
    <w:name w:val="Plain Text"/>
    <w:basedOn w:val="1"/>
    <w:link w:val="22"/>
    <w:qFormat/>
    <w:uiPriority w:val="0"/>
    <w:rPr>
      <w:rFonts w:ascii="宋体" w:hAnsi="Courier New" w:eastAsia="宋体" w:cs="宋体"/>
      <w:szCs w:val="32"/>
    </w:rPr>
  </w:style>
  <w:style w:type="paragraph" w:styleId="7">
    <w:name w:val="Normal Indent"/>
    <w:basedOn w:val="1"/>
    <w:unhideWhenUsed/>
    <w:qFormat/>
    <w:uiPriority w:val="99"/>
    <w:pPr>
      <w:ind w:firstLine="420" w:firstLineChars="200"/>
    </w:pPr>
  </w:style>
  <w:style w:type="paragraph" w:styleId="8">
    <w:name w:val="annotation text"/>
    <w:basedOn w:val="1"/>
    <w:qFormat/>
    <w:uiPriority w:val="0"/>
    <w:pPr>
      <w:jc w:val="left"/>
    </w:pPr>
  </w:style>
  <w:style w:type="paragraph" w:styleId="9">
    <w:name w:val="Balloon Text"/>
    <w:basedOn w:val="1"/>
    <w:link w:val="23"/>
    <w:qFormat/>
    <w:uiPriority w:val="0"/>
    <w:rPr>
      <w:sz w:val="18"/>
      <w:szCs w:val="18"/>
    </w:rPr>
  </w:style>
  <w:style w:type="paragraph" w:styleId="10">
    <w:name w:val="footer"/>
    <w:basedOn w:val="1"/>
    <w:next w:val="1"/>
    <w:qFormat/>
    <w:uiPriority w:val="0"/>
    <w:pPr>
      <w:tabs>
        <w:tab w:val="center" w:pos="4153"/>
        <w:tab w:val="right" w:pos="8307"/>
      </w:tabs>
      <w:snapToGrid w:val="0"/>
      <w:jc w:val="left"/>
    </w:pPr>
  </w:style>
  <w:style w:type="paragraph" w:styleId="11">
    <w:name w:val="header"/>
    <w:basedOn w:val="1"/>
    <w:next w:val="1"/>
    <w:qFormat/>
    <w:uiPriority w:val="0"/>
    <w:pPr>
      <w:pBdr>
        <w:bottom w:val="single" w:color="auto" w:sz="6" w:space="1"/>
      </w:pBdr>
      <w:tabs>
        <w:tab w:val="center" w:pos="4153"/>
        <w:tab w:val="right" w:pos="8306"/>
      </w:tabs>
      <w:snapToGrid w:val="0"/>
      <w:jc w:val="center"/>
    </w:pPr>
    <w:rPr>
      <w:sz w:val="18"/>
      <w:szCs w:val="18"/>
    </w:rPr>
  </w:style>
  <w:style w:type="paragraph" w:styleId="12">
    <w:name w:val="Normal (Web)"/>
    <w:basedOn w:val="1"/>
    <w:qFormat/>
    <w:uiPriority w:val="0"/>
    <w:pPr>
      <w:spacing w:before="100" w:beforeAutospacing="1" w:after="100" w:afterAutospacing="1"/>
      <w:jc w:val="left"/>
    </w:pPr>
    <w:rPr>
      <w:kern w:val="0"/>
      <w:sz w:val="24"/>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page number"/>
    <w:basedOn w:val="15"/>
    <w:qFormat/>
    <w:uiPriority w:val="0"/>
  </w:style>
  <w:style w:type="character" w:styleId="17">
    <w:name w:val="annotation reference"/>
    <w:basedOn w:val="15"/>
    <w:qFormat/>
    <w:uiPriority w:val="0"/>
    <w:rPr>
      <w:sz w:val="21"/>
      <w:szCs w:val="21"/>
    </w:rPr>
  </w:style>
  <w:style w:type="paragraph" w:customStyle="1" w:styleId="18">
    <w:name w:val="Body Text First Indent1"/>
    <w:basedOn w:val="3"/>
    <w:qFormat/>
    <w:uiPriority w:val="0"/>
    <w:pPr>
      <w:ind w:firstLine="420" w:firstLineChars="100"/>
    </w:pPr>
  </w:style>
  <w:style w:type="paragraph" w:customStyle="1" w:styleId="19">
    <w:name w:val="正文文本缩进1"/>
    <w:basedOn w:val="1"/>
    <w:next w:val="1"/>
    <w:qFormat/>
    <w:uiPriority w:val="0"/>
    <w:pPr>
      <w:spacing w:line="540" w:lineRule="exact"/>
      <w:ind w:firstLine="640"/>
    </w:pPr>
    <w:rPr>
      <w:rFonts w:ascii="仿宋_GB2312"/>
    </w:rPr>
  </w:style>
  <w:style w:type="character" w:customStyle="1" w:styleId="20">
    <w:name w:val="纯文本 Char"/>
    <w:basedOn w:val="15"/>
    <w:qFormat/>
    <w:uiPriority w:val="0"/>
    <w:rPr>
      <w:rFonts w:ascii="宋体" w:hAnsi="Courier New" w:eastAsia="宋体" w:cs="宋体"/>
      <w:color w:val="auto"/>
      <w:szCs w:val="32"/>
    </w:rPr>
  </w:style>
  <w:style w:type="paragraph" w:customStyle="1" w:styleId="21">
    <w:name w:val="正文首行缩进1"/>
    <w:basedOn w:val="3"/>
    <w:qFormat/>
    <w:uiPriority w:val="0"/>
    <w:pPr>
      <w:ind w:firstLine="420" w:firstLineChars="100"/>
    </w:pPr>
  </w:style>
  <w:style w:type="character" w:customStyle="1" w:styleId="22">
    <w:name w:val="纯文本 Char1"/>
    <w:basedOn w:val="15"/>
    <w:link w:val="6"/>
    <w:qFormat/>
    <w:uiPriority w:val="0"/>
    <w:rPr>
      <w:rFonts w:ascii="宋体" w:hAnsi="Courier New" w:eastAsia="宋体" w:cs="宋体"/>
      <w:color w:val="auto"/>
      <w:szCs w:val="32"/>
    </w:rPr>
  </w:style>
  <w:style w:type="character" w:customStyle="1" w:styleId="23">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24">
    <w:name w:val="正文文本首行缩进1"/>
    <w:basedOn w:val="3"/>
    <w:qFormat/>
    <w:uiPriority w:val="0"/>
    <w:pPr>
      <w:ind w:firstLine="420" w:firstLineChars="100"/>
    </w:pPr>
  </w:style>
  <w:style w:type="character" w:customStyle="1" w:styleId="25">
    <w:name w:val="font31"/>
    <w:basedOn w:val="15"/>
    <w:qFormat/>
    <w:uiPriority w:val="0"/>
    <w:rPr>
      <w:rFonts w:hint="eastAsia" w:ascii="宋体" w:hAnsi="宋体" w:eastAsia="宋体" w:cs="宋体"/>
      <w:b/>
      <w:bCs/>
      <w:color w:val="000000"/>
      <w:sz w:val="28"/>
      <w:szCs w:val="28"/>
      <w:u w:val="none"/>
    </w:rPr>
  </w:style>
  <w:style w:type="character" w:customStyle="1" w:styleId="26">
    <w:name w:val="font21"/>
    <w:basedOn w:val="15"/>
    <w:qFormat/>
    <w:uiPriority w:val="0"/>
    <w:rPr>
      <w:rFonts w:hint="eastAsia" w:ascii="宋体" w:hAnsi="宋体" w:eastAsia="宋体" w:cs="宋体"/>
      <w:b/>
      <w:bCs/>
      <w:color w:val="000000"/>
      <w:sz w:val="24"/>
      <w:szCs w:val="24"/>
      <w:u w:val="none"/>
    </w:rPr>
  </w:style>
  <w:style w:type="character" w:customStyle="1" w:styleId="27">
    <w:name w:val="font11"/>
    <w:basedOn w:val="15"/>
    <w:qFormat/>
    <w:uiPriority w:val="0"/>
    <w:rPr>
      <w:rFonts w:hint="default" w:ascii="Times New Roman" w:hAnsi="Times New Roman" w:cs="Times New Roman"/>
      <w:color w:val="000000"/>
      <w:sz w:val="24"/>
      <w:szCs w:val="24"/>
      <w:u w:val="none"/>
    </w:rPr>
  </w:style>
  <w:style w:type="character" w:customStyle="1" w:styleId="28">
    <w:name w:val="font01"/>
    <w:basedOn w:val="15"/>
    <w:qFormat/>
    <w:uiPriority w:val="0"/>
    <w:rPr>
      <w:rFonts w:hint="eastAsia" w:ascii="宋体" w:hAnsi="宋体" w:eastAsia="宋体" w:cs="宋体"/>
      <w:color w:val="000000"/>
      <w:sz w:val="22"/>
      <w:szCs w:val="22"/>
      <w:u w:val="none"/>
    </w:rPr>
  </w:style>
  <w:style w:type="character" w:customStyle="1" w:styleId="29">
    <w:name w:val="15"/>
    <w:basedOn w:val="15"/>
    <w:qFormat/>
    <w:uiPriority w:val="0"/>
    <w:rPr>
      <w:rFonts w:hint="eastAsia" w:ascii="宋体" w:hAnsi="Courier New" w:eastAsia="宋体"/>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5.xml"/><Relationship Id="rId7" Type="http://schemas.openxmlformats.org/officeDocument/2006/relationships/header" Target="header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8.png"/><Relationship Id="rId3" Type="http://schemas.openxmlformats.org/officeDocument/2006/relationships/footer" Target="footer1.xml"/><Relationship Id="rId29" Type="http://schemas.openxmlformats.org/officeDocument/2006/relationships/image" Target="file:///C:\Users\ADMINI~1\AppData\Local\Temp\ksohtml7852\wps22.png" TargetMode="External"/><Relationship Id="rId28" Type="http://schemas.openxmlformats.org/officeDocument/2006/relationships/image" Target="media/image17.png"/><Relationship Id="rId27" Type="http://schemas.openxmlformats.org/officeDocument/2006/relationships/image" Target="file:///C:\Users\ADMINI~1\AppData\Local\Temp\ksohtml7852\wps23.png" TargetMode="External"/><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file:///C:\Users\ADMINI~1\AppData\Local\Temp\ksohtml7852\wps21.png" TargetMode="External"/><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jpeg"/><Relationship Id="rId15" Type="http://schemas.openxmlformats.org/officeDocument/2006/relationships/image" Target="media/image6.jpeg"/><Relationship Id="rId14" Type="http://schemas.openxmlformats.org/officeDocument/2006/relationships/image" Target="media/image5.jpe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jpe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58</Pages>
  <Words>17695</Words>
  <Characters>18505</Characters>
  <Lines>159</Lines>
  <Paragraphs>44</Paragraphs>
  <TotalTime>39</TotalTime>
  <ScaleCrop>false</ScaleCrop>
  <LinksUpToDate>false</LinksUpToDate>
  <CharactersWithSpaces>21323</CharactersWithSpaces>
  <Application>WPS Office_11.8.2.10505_F1E327BC-269C-435d-A152-05C5408002CA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2018-09-24T01:17:00Z</dcterms:created>
  <dc:creator>卡门</dc:creator>
  <cp:lastModifiedBy>pc1</cp:lastModifiedBy>
  <cp:lastPrinted>2022-05-13T01:26:00Z</cp:lastPrinted>
  <dcterms:modified xsi:type="dcterms:W3CDTF">2023-05-06T17:03:57Z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2052-11.8.2.10505</vt:lpwstr>
  </property>
  <property fmtid="{D5CDD505-2E9C-101B-9397-08002B2CF9AE}" pid="3" name="ICV">
    <vt:lpwstr>B9339F34FF6D45AABE1BE422E265844F</vt:lpwstr>
  </property>
  <property fmtid="{D5CDD505-2E9C-101B-9397-08002B2CF9AE}" pid="4" name="KSOSaveFontToCloudKey">
    <vt:lpwstr>483120204_btnclosed</vt:lpwstr>
  </property>
</Properties>
</file>